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01.04.2022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№ 92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Положения о системе оплаты труда работников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(в редакции от 11.01.2022 № 9)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color w:val="000000" w:themeColor="text1"/>
          <w:kern w:val="2"/>
          <w:sz w:val="27"/>
          <w:szCs w:val="27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1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cs="Times New Roman" w:ascii="Times New Roman" w:hAnsi="Times New Roman"/>
          <w:color w:val="000000" w:themeColor="text1"/>
          <w:sz w:val="27"/>
          <w:szCs w:val="27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cs="Times New Roman" w:ascii="Times New Roman" w:hAnsi="Times New Roman"/>
          <w:sz w:val="27"/>
          <w:szCs w:val="27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от 25.09.2020 № 194, от 02.10.2020 № 204, от 19.01.2021 № 7, от 09.03.2021 № 50, от 27.12.2021 № 285, от 11.01.2022 № 9</w:t>
      </w:r>
      <w:r>
        <w:rPr>
          <w:rFonts w:cs="Times New Roman" w:ascii="Times New Roman" w:hAnsi="Times New Roman"/>
          <w:color w:val="000000" w:themeColor="text1"/>
          <w:sz w:val="27"/>
          <w:szCs w:val="27"/>
          <w:lang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 xml:space="preserve"> внести следующие изменения: 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таблице 7 «</w:t>
      </w:r>
      <w:r>
        <w:rPr>
          <w:rFonts w:ascii="Times New Roman" w:hAnsi="Times New Roman"/>
          <w:color w:val="000000"/>
          <w:sz w:val="27"/>
          <w:szCs w:val="27"/>
        </w:rPr>
        <w:t xml:space="preserve">Виды выплат стимулирующего характера, размер и условия их осуществления, критерии оценки результативности и качества деятельности учреждений для руководителей, заместителей общеобразовательных учреждений» </w:t>
      </w:r>
      <w:r>
        <w:rPr>
          <w:rFonts w:ascii="Times New Roman" w:hAnsi="Times New Roman"/>
          <w:sz w:val="27"/>
          <w:szCs w:val="27"/>
        </w:rPr>
        <w:t>пункта 6.16. раздела 6 «</w:t>
      </w:r>
      <w:r>
        <w:rPr>
          <w:rFonts w:ascii="Times New Roman" w:hAnsi="Times New Roman"/>
          <w:bCs/>
          <w:color w:val="000000"/>
          <w:sz w:val="27"/>
          <w:szCs w:val="27"/>
        </w:rPr>
        <w:t>Оплата труда руководителей муниципальных образовательных бюджетных учреждений, их заместителей</w:t>
      </w:r>
      <w:r>
        <w:rPr>
          <w:rFonts w:ascii="Times New Roman" w:hAnsi="Times New Roman"/>
          <w:sz w:val="27"/>
          <w:szCs w:val="27"/>
        </w:rPr>
        <w:t>» раздел «Руководитель учреждения» изложить в новой редакции:</w:t>
      </w:r>
    </w:p>
    <w:tbl>
      <w:tblPr>
        <w:tblStyle w:val="2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1844"/>
        <w:gridCol w:w="2722"/>
        <w:gridCol w:w="2096"/>
        <w:gridCol w:w="710"/>
        <w:gridCol w:w="596"/>
      </w:tblGrid>
      <w:tr>
        <w:trPr/>
        <w:tc>
          <w:tcPr>
            <w:tcW w:w="138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4818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6" w:type="dxa"/>
            <w:gridSpan w:val="2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Предельный размер выплат к выплат  к окладу (должностному окладу), ставке заработной платы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306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138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учреждения</w:t>
            </w:r>
          </w:p>
        </w:tc>
        <w:tc>
          <w:tcPr>
            <w:tcW w:w="7968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осуществления образовательного процесса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материально- техническая, ресурсная обеспеченность образовательного процесса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лицензией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санитарно- гигиенических условий образовательного процесса; обеспечение санитарно-бытовых условий, выполнение  требований пожарной и электробезопасности, охраны труда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укомплектованность педагогическими кадрами, их качественный состав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положительная динамика аттестации педагогических кадров на квалификационную категорию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эффективность финансово-экономической деятельности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исполнение бюджетной сметы, плана финансово-хозяйственной деятельности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своевременность и качество проведения ремонтов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жизнедеятельности учреждения в соответствии с нормами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эффективное использование инфраструктуры образовательного учреждения во внеурочное время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в образовательном учреждении кружков, секций, объединений, занятия в которых проводятся во внеурочное время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Сохранение здоровья учащихся в учреждении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обеспечения учащихся горячим питанием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жалоб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создание и реализация программ и проектов, направленных на сохранение здоровья учащихся, воспитанников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динамики увеличение числа хронических и сезонных заболеваний воспитанников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вовлечение детей и подростков в физическую культуру и спорт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увеличение количества детей, посещающих спортивные кружки, секции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Выполнение муниципального задания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степень выполнения муниципального задания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10%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7968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Выплаты за интенсивность и высокие результаты работы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качества образования в учреждении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показатели качества по результатам аттестации учреждения, итоговой аттестации выпускников, контрольных срезов, итоговых контрольных работ     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ниже 50%       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участие в инновационной деятельности, ведение экспериментальной работы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участие в конкурсах инновационных   учреждений, участие  педагогов в профессиональных конкурсах          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победы в конкурсах инновационных  учреждений, победы педагогов в профессиональных конкурсах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достижения обучающихся воспитанников в олимпиадах, конкурсах, смотрах, конференциях, соревнованиях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призеров и победителей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правонарушений, совершенных обучающимися, воспитанниками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нарушений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Сохранность контингента обучающихся, воспитанников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наполняемость классов в течение года в соответствии с планом комплектования       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движение учащихся в пределах 1 - 2% от общей численности          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7968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Выплаты за качество выполняемых работ                     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государственно- общественного характера управления в учреждении  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и функционирование в учреждении органа государственно- общественного управления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отсутствие обоснованных обращений граждан по поводу конфликтных ситуаций    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отсутствие обоснованных обращений граждан по поводу конфликтных ситуаций   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нарушений трудового законодательства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 нарушений трудового законодательства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Управленческая культура</w:t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системность контроля, своевременность коррекции,  согласованность  руководства, четкость организации)                                          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программ, проектов, планов и   аналитических документов по их реализации      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эффективность реализуемой кадровой политики (оптимальность  штатного расписания, стабильность кадрового состава    </w:t>
            </w:r>
          </w:p>
        </w:tc>
        <w:tc>
          <w:tcPr>
            <w:tcW w:w="280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действующей системы непрерывного  профессионального развития педагогических кадров  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5%</w:t>
            </w:r>
          </w:p>
        </w:tc>
      </w:tr>
      <w:tr>
        <w:trPr/>
        <w:tc>
          <w:tcPr>
            <w:tcW w:w="138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7372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Выплаты за сложность, напряженность и особый режим работы</w:t>
            </w:r>
          </w:p>
        </w:tc>
        <w:tc>
          <w:tcPr>
            <w:tcW w:w="5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  <w:lang w:eastAsia="ru-RU"/>
              </w:rPr>
              <w:t>30%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>2.</w:t>
      </w: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7"/>
            <w:szCs w:val="27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7"/>
          <w:szCs w:val="27"/>
          <w:lang w:eastAsia="ru-RU"/>
        </w:rPr>
        <w:t>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</w:t>
      </w:r>
      <w:bookmarkStart w:id="1" w:name="Par27"/>
      <w:bookmarkEnd w:id="1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Н.А. Петровская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4555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de4555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d4e18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Без интервала1"/>
    <w:qFormat/>
    <w:rsid w:val="00de4555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NoSpacing">
    <w:name w:val="No Spacing"/>
    <w:uiPriority w:val="1"/>
    <w:qFormat/>
    <w:rsid w:val="00de4555"/>
    <w:pPr>
      <w:widowControl/>
      <w:bidi w:val="0"/>
      <w:spacing w:lineRule="auto" w:line="240" w:before="0" w:after="0"/>
      <w:jc w:val="left"/>
    </w:pPr>
    <w:rPr>
      <w:rFonts w:eastAsia="Times New Roman" w:ascii="Calibri" w:hAnsi="Calibri" w:cs="" w:asciiTheme="minorHAnsi" w:cstheme="minorBidi" w:hAnsiTheme="minorHAnsi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d4e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646dc4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5">
    <w:name w:val="Table Grid"/>
    <w:basedOn w:val="a1"/>
    <w:uiPriority w:val="39"/>
    <w:rsid w:val="00646d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520736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LibreOffice/6.4.7.2$Linux_X86_64 LibreOffice_project/40$Build-2</Application>
  <Pages>3</Pages>
  <Words>784</Words>
  <Characters>5616</Characters>
  <CharactersWithSpaces>6807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2022-02-28T07:17:00Z</dcterms:created>
  <dc:creator>Пользователь Windows</dc:creator>
  <dc:description/>
  <dc:language>ru-RU</dc:language>
  <cp:lastModifiedBy/>
  <cp:lastPrinted>2022-02-28T07:59:00Z</cp:lastPrinted>
  <dcterms:modified xsi:type="dcterms:W3CDTF">2022-04-05T12:12:14Z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