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18.01.2022                                                                                                         № 19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Администрации города Шарыпово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от 05.11.2020 года № 242 «Об утверждении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Правил персонифицированного финансирования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дополнительного образования детей в 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муниципальном образовании городе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(в редакции от 01.07.2021 № 138)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утвержденными постановлением Правительства Российской Федерации от 18.09.2020 № 1492,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постановление Администрации города Шарыпово от 05.11.2020 года № 242 «Об утверждении Правил персонифицированного финансирования дополнительного образования детей в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муниципальном образовании городе Шарыпово Красноярского края» (в редакции от 01.07.2021 № 138) внести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108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приложении № 2 к постановлению «Порядок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финансирования»:</w:t>
      </w:r>
    </w:p>
    <w:p>
      <w:pPr>
        <w:pStyle w:val="ListParagraph"/>
        <w:widowControl w:val="false"/>
        <w:numPr>
          <w:ilvl w:val="2"/>
          <w:numId w:val="1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Подпункт 7 пункта 9 изложить в новой редакции: «7)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участник отбора, являющийся юридическим лицом, на дату предоставления гранта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предпринимателя;»;</w:t>
      </w:r>
    </w:p>
    <w:p>
      <w:pPr>
        <w:pStyle w:val="ListParagraph"/>
        <w:widowControl w:val="false"/>
        <w:numPr>
          <w:ilvl w:val="2"/>
          <w:numId w:val="1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Подпункт 4 пункта 16 изложить в новой редакции: «4)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условие о согласии получателей субсидии и лиц, являющихся поставщиками (подрядчиками, исполнителями) по договорам (соглашениям),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проверок, предусмотренных подпунктом 5 пункта 3 статьи 78 Бюджетного кодекса Российской Федерации;»;</w:t>
      </w:r>
    </w:p>
    <w:p>
      <w:pPr>
        <w:pStyle w:val="ListParagraph"/>
        <w:numPr>
          <w:ilvl w:val="2"/>
          <w:numId w:val="1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Подпункт 2 пункта 31 изложить в новой редакции: «2)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приобретение иностранной валюты, за исключением операций,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грантов в форме субсидии;»;</w:t>
      </w:r>
    </w:p>
    <w:p>
      <w:pPr>
        <w:pStyle w:val="ListParagraph"/>
        <w:numPr>
          <w:ilvl w:val="2"/>
          <w:numId w:val="1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Пункт 35 изложить в новой редакции: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получателями, в соответствии с подпунктом 5 пункта 3 статьи 78 Бюджетного кодекса Российской Федерации.»;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Пункт 2.3. Рамочного соглашения (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 Порядку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города Шарыпово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финансирования) изложить в новой редакции: «</w:t>
      </w:r>
      <w:r>
        <w:rPr>
          <w:rFonts w:cs="Times New Roman" w:ascii="Times New Roman" w:hAnsi="Times New Roman"/>
          <w:sz w:val="28"/>
          <w:szCs w:val="28"/>
          <w:lang w:eastAsia="ru-RU"/>
        </w:rPr>
        <w:t>При заключении настоящего Соглашения получатели субсидии и лица, являющиеся поставщиками (подрядчиками, исполнителями) по договорам (соглашениям), выражают свое согласие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проверок, предусмотренных подпунктом 5 пункта 3 статьи 78 Бюджетного кодекса Российской Федерации.».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27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 Петровская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72" w:hanging="720"/>
      </w:pPr>
    </w:lvl>
    <w:lvl w:ilvl="3">
      <w:start w:val="1"/>
      <w:numFmt w:val="decimal"/>
      <w:lvlText w:val="%1.%2.%3.%4."/>
      <w:lvlJc w:val="left"/>
      <w:pPr>
        <w:ind w:left="2904" w:hanging="1080"/>
      </w:pPr>
    </w:lvl>
    <w:lvl w:ilvl="4">
      <w:start w:val="1"/>
      <w:numFmt w:val="decimal"/>
      <w:lvlText w:val="%1.%2.%3.%4.%5."/>
      <w:lvlJc w:val="left"/>
      <w:pPr>
        <w:ind w:left="3276" w:hanging="1080"/>
      </w:pPr>
    </w:lvl>
    <w:lvl w:ilvl="5">
      <w:start w:val="1"/>
      <w:numFmt w:val="decimal"/>
      <w:lvlText w:val="%1.%2.%3.%4.%5.%6."/>
      <w:lvlJc w:val="left"/>
      <w:pPr>
        <w:ind w:left="4008" w:hanging="1440"/>
      </w:pPr>
    </w:lvl>
    <w:lvl w:ilvl="6">
      <w:start w:val="1"/>
      <w:numFmt w:val="decimal"/>
      <w:lvlText w:val="%1.%2.%3.%4.%5.%6.%7."/>
      <w:lvlJc w:val="left"/>
      <w:pPr>
        <w:ind w:left="4740" w:hanging="1800"/>
      </w:pPr>
    </w:lvl>
    <w:lvl w:ilvl="7">
      <w:start w:val="1"/>
      <w:numFmt w:val="decimal"/>
      <w:lvlText w:val="%1.%2.%3.%4.%5.%6.%7.%8."/>
      <w:lvlJc w:val="left"/>
      <w:pPr>
        <w:ind w:left="5112" w:hanging="1800"/>
      </w:pPr>
    </w:lvl>
    <w:lvl w:ilvl="8">
      <w:start w:val="1"/>
      <w:numFmt w:val="decimal"/>
      <w:lvlText w:val="%1.%2.%3.%4.%5.%6.%7.%8.%9."/>
      <w:lvlJc w:val="left"/>
      <w:pPr>
        <w:ind w:left="5844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4db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8b3bd4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  <w:szCs w:val="32"/>
    </w:rPr>
  </w:style>
  <w:style w:type="character" w:styleId="ListLabel18">
    <w:name w:val="ListLabel 18"/>
    <w:qFormat/>
    <w:rPr>
      <w:rFonts w:cs="Times New Roman"/>
      <w:sz w:val="24"/>
    </w:rPr>
  </w:style>
  <w:style w:type="character" w:styleId="ListLabel19">
    <w:name w:val="ListLabel 19"/>
    <w:qFormat/>
    <w:rPr>
      <w:sz w:val="24"/>
    </w:rPr>
  </w:style>
  <w:style w:type="character" w:styleId="ListLabel20">
    <w:name w:val="ListLabel 20"/>
    <w:qFormat/>
    <w:rPr>
      <w:sz w:val="24"/>
    </w:rPr>
  </w:style>
  <w:style w:type="character" w:styleId="ListLabel21">
    <w:name w:val="ListLabel 21"/>
    <w:qFormat/>
    <w:rPr>
      <w:sz w:val="24"/>
    </w:rPr>
  </w:style>
  <w:style w:type="character" w:styleId="ListLabel22">
    <w:name w:val="ListLabel 22"/>
    <w:qFormat/>
    <w:rPr>
      <w:sz w:val="24"/>
    </w:rPr>
  </w:style>
  <w:style w:type="character" w:styleId="ListLabel23">
    <w:name w:val="ListLabel 23"/>
    <w:qFormat/>
    <w:rPr>
      <w:sz w:val="24"/>
    </w:rPr>
  </w:style>
  <w:style w:type="character" w:styleId="ListLabel24">
    <w:name w:val="ListLabel 24"/>
    <w:qFormat/>
    <w:rPr>
      <w:sz w:val="24"/>
    </w:rPr>
  </w:style>
  <w:style w:type="character" w:styleId="ListLabel25">
    <w:name w:val="ListLabel 25"/>
    <w:qFormat/>
    <w:rPr>
      <w:sz w:val="24"/>
    </w:rPr>
  </w:style>
  <w:style w:type="character" w:styleId="ListLabel26">
    <w:name w:val="ListLabel 26"/>
    <w:qFormat/>
    <w:rPr>
      <w:sz w:val="24"/>
    </w:rPr>
  </w:style>
  <w:style w:type="character" w:styleId="ListLabel27">
    <w:name w:val="ListLabel 27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c1ad7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5d685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8b3b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LibreOffice/6.0.7.3$Linux_X86_64 LibreOffice_project/00m0$Build-3</Application>
  <Pages>1</Pages>
  <Words>818</Words>
  <Characters>4664</Characters>
  <CharactersWithSpaces>5472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2022-01-12T03:13:00Z</dcterms:created>
  <dc:creator>Пользователь Windows</dc:creator>
  <dc:description/>
  <dc:language>ru-RU</dc:language>
  <cp:lastModifiedBy/>
  <cp:lastPrinted>2022-01-12T04:07:00Z</cp:lastPrinted>
  <dcterms:modified xsi:type="dcterms:W3CDTF">2022-01-25T11:15:39Z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