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tabs>
          <w:tab w:val="left" w:pos="4820" w:leader="none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tbl>
      <w:tblPr>
        <w:tblW w:w="937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6377"/>
        <w:gridCol w:w="2997"/>
      </w:tblGrid>
      <w:tr>
        <w:trPr/>
        <w:tc>
          <w:tcPr>
            <w:tcW w:w="637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10.11.2021</w:t>
            </w:r>
          </w:p>
        </w:tc>
        <w:tc>
          <w:tcPr>
            <w:tcW w:w="299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№ </w:t>
            </w:r>
            <w:r>
              <w:rPr>
                <w:color w:val="000000"/>
                <w:sz w:val="28"/>
                <w:szCs w:val="28"/>
              </w:rPr>
              <w:t>231</w:t>
            </w:r>
          </w:p>
        </w:tc>
      </w:tr>
    </w:tbl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(в ред. 23.09.2021 № 177)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ListParagraph"/>
        <w:widowControl w:val="false"/>
        <w:tabs>
          <w:tab w:val="left" w:pos="0" w:leader="none"/>
          <w:tab w:val="left" w:pos="74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  <w:t xml:space="preserve">1.1. </w:t>
      </w: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>
      <w:pPr>
        <w:pStyle w:val="Normal"/>
        <w:ind w:firstLine="714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</w:rPr>
        <w:t>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tabs>
          <w:tab w:val="center" w:pos="0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r>
        <w:rPr>
          <w:color w:val="000000" w:themeColor="text1"/>
          <w:sz w:val="27"/>
          <w:szCs w:val="27"/>
          <w:lang w:val="en-US"/>
        </w:rPr>
        <w:t>www</w:t>
      </w:r>
      <w:r>
        <w:rPr>
          <w:color w:val="000000" w:themeColor="text1"/>
          <w:sz w:val="27"/>
          <w:szCs w:val="27"/>
        </w:rPr>
        <w:t>.</w:t>
      </w:r>
      <w:r>
        <w:rPr>
          <w:color w:val="000000" w:themeColor="text1"/>
          <w:sz w:val="27"/>
          <w:szCs w:val="27"/>
          <w:lang w:val="en-US"/>
        </w:rPr>
        <w:t>gorodsharypovo</w:t>
      </w:r>
      <w:r>
        <w:rPr>
          <w:color w:val="000000" w:themeColor="text1"/>
          <w:sz w:val="27"/>
          <w:szCs w:val="27"/>
        </w:rPr>
        <w:t>.</w:t>
      </w:r>
      <w:r>
        <w:rPr>
          <w:color w:val="000000" w:themeColor="text1"/>
          <w:sz w:val="27"/>
          <w:szCs w:val="27"/>
          <w:lang w:val="en-US"/>
        </w:rPr>
        <w:t>ru</w:t>
      </w:r>
      <w:r>
        <w:rPr>
          <w:color w:val="000000" w:themeColor="text1"/>
          <w:sz w:val="27"/>
          <w:szCs w:val="27"/>
        </w:rPr>
        <w:t>).</w:t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-250" w:topFromText="0" w:vertAnchor="text"/>
        <w:tblW w:w="9528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4844"/>
        <w:gridCol w:w="4683"/>
      </w:tblGrid>
      <w:tr>
        <w:trPr>
          <w:trHeight w:val="247" w:hRule="atLeast"/>
        </w:trPr>
        <w:tc>
          <w:tcPr>
            <w:tcW w:w="4844" w:type="dxa"/>
            <w:tcBorders/>
            <w:shd w:fill="auto" w:val="clear"/>
          </w:tcPr>
          <w:p>
            <w:pPr>
              <w:pStyle w:val="Normal"/>
              <w:widowControl w:val="false"/>
              <w:ind w:right="-30" w:hanging="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83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Приложение к постановлению Администрации города Шарыпово</w:t>
            </w:r>
          </w:p>
          <w:p>
            <w:pPr>
              <w:pStyle w:val="Normal"/>
              <w:jc w:val="both"/>
              <w:rPr/>
            </w:pPr>
            <w:r>
              <w:rPr/>
              <w:t>от 10.11.2021   № 231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«Приложение к постановлению Администрации города Шарыпово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 04.10.2013 г. № 244</w:t>
            </w:r>
          </w:p>
        </w:tc>
      </w:tr>
    </w:tbl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 xml:space="preserve">1. Паспорт муниципальной программы муниципального образования города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Шарыпово».</w:t>
      </w:r>
    </w:p>
    <w:p>
      <w:pPr>
        <w:pStyle w:val="Normal"/>
        <w:ind w:firstLine="851"/>
        <w:jc w:val="center"/>
        <w:rPr>
          <w:color w:val="000000"/>
        </w:rPr>
      </w:pPr>
      <w:r>
        <w:rPr>
          <w:color w:val="000000"/>
        </w:rPr>
      </w:r>
    </w:p>
    <w:tbl>
      <w:tblPr>
        <w:tblW w:w="963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877"/>
        <w:gridCol w:w="6761"/>
      </w:tblGrid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 Программа).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Основания для разработки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Статья 179 Бюджетного кодекса Российской Федерации</w:t>
            </w:r>
          </w:p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Распоряжение Администрации города Шарыпово от 28.06.2021 № 700 «Об утверждении Перечня муниципальных программ муниципального образования города Шарыпово Красноярского края на 2022-2024 годы»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Администрация города Шарыпово.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Подпрограмма: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1. Развитие субъектов малого и среднего предпринимательства в городе Шарыпово.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Цели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Задачи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1.Формирование  благоприятного инвестиционного климата на территории города Шарыпово.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Этапы и сроки реализации муниципальной  программы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Программа реализуется с 2014 по 2024 годы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приведены в приложении к паспорту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муниципальной программы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>Объем финансирования составляет  24 852 897,50 руб.</w:t>
            </w:r>
            <w:r>
              <w:rPr>
                <w:color w:val="000000"/>
              </w:rPr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2014 год – 4 015 900,00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978 000,00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федеральный бюджет – 2 387 900,00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2015 год – </w:t>
            </w:r>
            <w:r>
              <w:rPr>
                <w:color w:val="000000" w:themeColor="text1"/>
              </w:rPr>
              <w:t>6 910 000,00</w:t>
            </w:r>
            <w:r>
              <w:rPr>
                <w:color w:val="000000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1 538 000,00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федеральный бюджет – 4 922 000,00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2016 год – 1992 997,50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1742997,50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2017 год – 1 250 000,00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1 000 000,00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2018 год – 1 831 800,00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1 581 800,00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2019 год – 70 000,00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—70 000,00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2020 год – 867 500,00 </w:t>
            </w:r>
            <w:r>
              <w:rPr>
                <w:color w:val="000000"/>
              </w:rPr>
              <w:t>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 617 500,00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2021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—      250 000,00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2022 год – 2 554 900,00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2 304 900,00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2023 год – 2 554 900,00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2 304 900,00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2024 год </w:t>
            </w:r>
            <w:r>
              <w:rPr>
                <w:color w:val="000000"/>
              </w:rPr>
              <w:t>– 2 554 900,00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краевой бюджет – 2 304 900,00 рублей.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программы.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 xml:space="preserve">Одним из приоритетных направлений развития муниципального образования города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 xml:space="preserve">Численность индивидуальных предпринимателей прошедших государственную регистрацию по состоянию на 01.01.2021г. составило 934 чел. </w:t>
      </w:r>
      <w:r>
        <w:rPr>
          <w:rFonts w:cs="Times New Roman" w:ascii="Times New Roman" w:hAnsi="Times New Roman"/>
          <w:szCs w:val="24"/>
        </w:rPr>
        <w:t xml:space="preserve">что составляет 95,7% к уровню прошлого года </w:t>
      </w:r>
      <w:r>
        <w:rPr>
          <w:rFonts w:cs="Times New Roman" w:ascii="Times New Roman" w:hAnsi="Times New Roman"/>
          <w:color w:val="000000"/>
          <w:szCs w:val="24"/>
        </w:rPr>
        <w:t xml:space="preserve">(01.01.2020г. - 1220 чел. 01.01.2019г.-1275 чел.) 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В 2020 году  на территории муниципального образования города Шарыпово  действовало 274 малых предприятий,  включая микропредприятия и 1 средняя организация, на конец периода, в том числе: 31 - предприятия оптовой и розничной торговли, 51 - строительство, 79 - обрабатывающие производства, 7 - деятельность в области культуры, спорта, организации досуга и развлечений, 24 -здравоохранение, 3 - образование, 42 - гостиницы и предприятия общественного питания.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 xml:space="preserve">Количество налогоплательщиков, представивших налоговые декларации по единому налогу на вмененный доход – 761 ед. Право применения упрощенной системы налогообложения на основании патента в 2020 году получили 43 налогоплательщика. Количество налогоплательщиков, представивших налоговые декларации по единому сельскохозяйственному налогу — 7 ед. 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За 2020 год показатели достигли следующих значений: оборот организаций малого предпринимательства, включая микропредприятия (юридических лиц) — 3691530,42 тыс. руб., оборот средних организаций по хозяйственным видам деятельности — 194640,00 тыс. руб., оборот розничной торговли субъектов малого предпринимательства — 5968977,36 тыс. руб., оборот оптовой торговли субъектов малого предпринимательства — 621195,15 тыс. руб., оборот общественного питания субъектов малого предпринимательства -  78599,11 тыс. руб., оборот розничной торговли — 7258607,60 тыс. руб., темп роста – 1,2%.</w:t>
      </w:r>
    </w:p>
    <w:p>
      <w:pPr>
        <w:pStyle w:val="Normal"/>
        <w:ind w:firstLine="709"/>
        <w:jc w:val="both"/>
        <w:rPr/>
      </w:pPr>
      <w:r>
        <w:rPr/>
        <w:t>Развитие малого и среднего предпринимательства в соответствии с программой социально-экономического развития города Шарыпово стало одним из приоритетных направлений в деятельности города. Всего на 10 000 жителей в 2020 году приходится 264,61 ед. субъектов малого и среднего предпринимательства (из расчета среднегодовой численности постоянного населения), уменьшение составило (-25,85 ед.)по сравнению с 2019 годом (290,46 ед.). Уменьшение данного показателя связано с уменьшением количества индивидуальных предпринимателей, на конец периода. Согласно оценке, плановые значения показателя «число субъектов малого предпринимательства в расчете на 10,0 тыс. человек населения» будут равны в 2022 – 2024 годах соответственно 275,80; 282,88 и 292,09 единиц.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Существует ряд факторов, сдерживающих развитие предпринимательства: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- затруднение доступа к финансово-кредитным и иным материальным ресурсам;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- высокий уровень административного вмешательства в деятельность хозяйствующих субъектов;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дефицит квалифицированных кадров и доступных информационно-консультационных ресурсов.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 xml:space="preserve">На территории муниципального образования города Шарыпово реализуется  инвестиционные проекты:  «Строительство горнолыжной базы «Долгий лог» и строительство завода по производству питьевой воды, газированных напитков и соков в бутылках ООО «Инголь Аква». 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 xml:space="preserve">Строительство горнолыжной трассы и прилегающего гостиничного комплекса позволит  жителям города  по приемлемым ценам хорошо отдохнуть, не выезжая далеко за пределы города. 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Ведется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 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За период 2013-2023 годов предприятие планирует  инвестировать дополнительно 45,1 млн. рублей.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 xml:space="preserve">Строительство завода ООО «Инголь Аква» по производству питьевой воды, газированных напитков и соков в бутылках, близится к завершению. Производственная мощность завода составит 3 278,926 куб.м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Инвестиционная готовность завода составляет 80%, на данный момент идет  оформление документов на здание в собственность и постановка учет, а также  закупка нового высокотехнологичного оборудования. ООО «Инголь Аква»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Налоговые поступления только за 2020 год от субъектов малого и среднего предпринимательства в бюджете городского округа города Шарыпово (далее – бюджет города Шарыпово) составили  104061,02 тыс. руб., (62,23%), (2019- 167197,04 тыс. руб.; 2018 год - 163369,42 тыс. руб.).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>
      <w:pPr>
        <w:pStyle w:val="Normal"/>
        <w:tabs>
          <w:tab w:val="left" w:pos="600" w:leader="none"/>
          <w:tab w:val="left" w:pos="851" w:leader="none"/>
        </w:tabs>
        <w:ind w:firstLine="714"/>
        <w:jc w:val="both"/>
        <w:rPr/>
      </w:pPr>
      <w:r>
        <w:rPr>
          <w:color w:val="000000"/>
        </w:rPr>
        <w:t xml:space="preserve"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предпринимательству, работающий по принципу «одно окно», с августа 2013 года в городе создана и осуществляет деятельность  АНО </w:t>
      </w:r>
      <w:r>
        <w:rPr>
          <w:rStyle w:val="Strong"/>
          <w:color w:val="000000"/>
        </w:rPr>
        <w:t>«</w:t>
      </w:r>
      <w:r>
        <w:rPr>
          <w:color w:val="000000"/>
        </w:rPr>
        <w:t>Агентство поддержки МСБ г. Шарыпово</w:t>
      </w:r>
      <w:r>
        <w:rPr>
          <w:rStyle w:val="Strong"/>
          <w:color w:val="000000"/>
        </w:rPr>
        <w:t>»</w:t>
      </w:r>
      <w:r>
        <w:rPr>
          <w:color w:val="000000"/>
        </w:rPr>
        <w:t>, определенную помощь предпринимателям в подготовке кадров оказывает КГБУ «Центр занятости населения г. Шарыпово», в 2021 году дополнительно в помощь предпринимателям</w:t>
      </w:r>
      <w:r>
        <w:rPr>
          <w:rFonts w:cs="Arial" w:ascii="Arial" w:hAnsi="Arial"/>
          <w:color w:val="4D5156"/>
          <w:sz w:val="21"/>
          <w:szCs w:val="21"/>
          <w:shd w:fill="FFFFFF" w:val="clear"/>
        </w:rPr>
        <w:t> </w:t>
      </w:r>
      <w:r>
        <w:rPr>
          <w:color w:val="000000"/>
        </w:rPr>
        <w:t>открылось представительство от центра  «Мой Бизнес».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Основные причины, которые сдерживают приток инвестиционных ресурсов в экономику города следующие: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затруднен доступ к финансово-кредитным и иным материальным ресурсам;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постоянный рост стоимости ресурсов;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неустойчивое финансовое состояние, характе</w:t>
        <w:softHyphen/>
        <w:t>ризующееся снижением собственных налоговых доходов и ростом расходов бюджета;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дефицит квалифицированных кадров и доступных информационно-консультационных ресурсов;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 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Приоритеты и цели социально-экономического развития инвестиционной </w:t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сферы, а также малого и среднего предпринимательства, описание основных целей и задач программы, прогноз развития соответствующей сферы.</w:t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Web"/>
        <w:numPr>
          <w:ilvl w:val="0"/>
          <w:numId w:val="1"/>
        </w:numPr>
        <w:ind w:left="0" w:firstLine="714"/>
        <w:jc w:val="both"/>
        <w:rPr>
          <w:color w:val="000000"/>
        </w:rPr>
      </w:pPr>
      <w:r>
        <w:rPr>
          <w:color w:val="000000"/>
        </w:rPr>
        <w:t>Целью настоящей программы является: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1.1. Создание благоприятных условий для развития малого и среднего предпринимательства и улучшение инвестиционного климата на территории города.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2. Задачами настоящей Программы являются: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2.1. Формирование  благоприятного инвестиционного климата на территории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2.2.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инвестиционной сферы, сферы малого и среднего предпринимательства, экономики, степени реализации других общественно значимых интересов.</w:t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Cs w:val="24"/>
        </w:rPr>
      </w:r>
    </w:p>
    <w:p>
      <w:pPr>
        <w:pStyle w:val="NormalWeb"/>
        <w:ind w:firstLine="714"/>
        <w:rPr>
          <w:color w:val="000000"/>
        </w:rPr>
      </w:pPr>
      <w:r>
        <w:rPr>
          <w:color w:val="000000"/>
        </w:rPr>
        <w:t>Основные ожидаемые результаты реализации Программных мероприятий по направлениям: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1.  Реализация мероприятия по формированию благоприятного инвестиционного климата на территории города Шарыпово, повлечет: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увеличение оборота  организаций малого и среднего бизнеса (включая микропредприятия);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увеличение объема инвестиций в основной капитал.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сократить численность безработных;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создать новые рабочие места;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сохранить действующие рабочие места;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увеличить и сохранить количество обрабатывающих производств;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>5. Информация по подпрограммам, отдельным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>мероприятиям программы</w:t>
      </w:r>
    </w:p>
    <w:p>
      <w:pPr>
        <w:pStyle w:val="ConsPlusNormal1"/>
        <w:jc w:val="both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В составе программы в период реализации осуществляется  реализация подпрограммы:</w:t>
      </w:r>
      <w:r>
        <w:rPr>
          <w:rFonts w:eastAsia="Calibri" w:cs="Times New Roman" w:ascii="Times New Roman" w:hAnsi="Times New Roman"/>
          <w:color w:val="000000"/>
          <w:szCs w:val="24"/>
          <w:lang w:eastAsia="en-US"/>
        </w:rPr>
        <w:t xml:space="preserve"> «Развитие субъектов малого и среднего предпринимательства в городе Шарыпово», </w:t>
      </w:r>
      <w:r>
        <w:rPr>
          <w:rFonts w:cs="Times New Roman" w:ascii="Times New Roman" w:hAnsi="Times New Roman"/>
          <w:bCs/>
          <w:color w:val="000000"/>
          <w:szCs w:val="24"/>
        </w:rPr>
        <w:t>приведена в приложении</w:t>
      </w:r>
      <w:r>
        <w:rPr>
          <w:rFonts w:cs="Times New Roman" w:ascii="Times New Roman" w:hAnsi="Times New Roman"/>
          <w:color w:val="000000"/>
          <w:szCs w:val="24"/>
        </w:rPr>
        <w:t xml:space="preserve"> № 4 к муниципальной программе</w:t>
      </w:r>
      <w:r>
        <w:rPr>
          <w:rFonts w:eastAsia="Calibri" w:cs="Times New Roman" w:ascii="Times New Roman" w:hAnsi="Times New Roman"/>
          <w:color w:val="000000"/>
          <w:szCs w:val="24"/>
          <w:lang w:eastAsia="en-US"/>
        </w:rPr>
        <w:t>.</w:t>
      </w:r>
    </w:p>
    <w:p>
      <w:pPr>
        <w:pStyle w:val="ConsPlusNormal1"/>
        <w:ind w:firstLine="714"/>
        <w:jc w:val="both"/>
        <w:rPr/>
      </w:pPr>
      <w:r>
        <w:rPr>
          <w:rFonts w:cs="Times New Roman" w:ascii="Times New Roman" w:hAnsi="Times New Roman"/>
          <w:color w:val="000000"/>
          <w:szCs w:val="24"/>
        </w:rPr>
        <w:t xml:space="preserve">Разработка </w:t>
      </w:r>
      <w:hyperlink w:anchor="P911">
        <w:r>
          <w:rPr>
            <w:rStyle w:val="ListLabel2"/>
            <w:rFonts w:cs="Times New Roman" w:ascii="Times New Roman" w:hAnsi="Times New Roman"/>
            <w:color w:val="000000"/>
            <w:szCs w:val="24"/>
          </w:rPr>
          <w:t>подпрограммы</w:t>
        </w:r>
      </w:hyperlink>
      <w:r>
        <w:rPr>
          <w:rFonts w:cs="Times New Roman" w:ascii="Times New Roman" w:hAnsi="Times New Roman"/>
          <w:color w:val="000000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 создание новых рабочих мест, снижение уровня безработицы и социальной напряжённости в обществе.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>
      <w:pPr>
        <w:pStyle w:val="Normal"/>
        <w:tabs>
          <w:tab w:val="left" w:pos="720" w:leader="none"/>
          <w:tab w:val="left" w:pos="90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Муниципальное образование города Шарыпово Красноярского края  ежегодно с 2009 года принимает участие  в конкурсных отборах 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мероприятий.Все программные мероприятия, запланированные на 2014-2020 год выполнены в полном объеме.  Результат реализации Программы за 2014-2020 годы составил 100,0 %, в том числе по освоению средств бюджета города Шарыпово, краевого и федерального бюджетов.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В развитии малого бизнеса города Шарыпово положительную роль играет финансовая поддержка со стороны краевых властей. Так с 2014 по 2020 гг. из краевого и федерального бюджетов муниципальному образованию были выделены средства в сумме 7418,6 тыс. рублей и 7309,9 тыс. рублей соответственно. Из городского бюджета в период 2014-2020гг. выделены средства в сумме 1 357,17 тыс. рублей, общий объём поддержки составил 16 085,7 тыс. рублей.</w:t>
      </w:r>
    </w:p>
    <w:p>
      <w:pPr>
        <w:pStyle w:val="Normal"/>
        <w:ind w:firstLine="709"/>
        <w:jc w:val="both"/>
        <w:rPr/>
      </w:pPr>
      <w:r>
        <w:rPr/>
        <w:t xml:space="preserve">За весь период реализации программы 2014-2020гг. была оказана финансовая помощь 42 хозяйствующим субъектам, которыми дополнительно создано  78 рабочих мест, сохранено –  354 рабочих места, вложено субъектами малого предпринимательства инвестиций в объеме более 52,8 млн. рублей.  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 xml:space="preserve">Но, несмотря на положительную динамику развития малого, и среднего предпринимательства 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- неэффективная маркетинговая политика;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- конкуренция со стороны крупных компаний;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- недостаточная профессиональная подготовка кадрового персонала предпринимательства;</w:t>
      </w:r>
    </w:p>
    <w:p>
      <w:pPr>
        <w:pStyle w:val="NormalWeb"/>
        <w:ind w:firstLine="714"/>
        <w:rPr>
          <w:color w:val="000000"/>
        </w:rPr>
      </w:pPr>
      <w:r>
        <w:rPr>
          <w:color w:val="000000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>
      <w:pPr>
        <w:pStyle w:val="NormalWeb"/>
        <w:ind w:firstLine="714"/>
        <w:rPr>
          <w:color w:val="000000"/>
        </w:rPr>
      </w:pPr>
      <w:r>
        <w:rPr>
          <w:color w:val="000000"/>
        </w:rPr>
        <w:t>- недостаточная информированность предпринимателей о реализации программ развития предпринимательства.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Целью настоящей подпрограммы является: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1. Создание благоприятных условий для развития малого и среднего предпринимательства на территории города.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Задачами настоящей подпрограммы являются: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 Оказание поддержки субъектам малого и среднего предпринимательства.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3. Обеспечение деятельности инфраструктуры поддержки субъектов малого и среднего предпринимательства.</w:t>
      </w:r>
    </w:p>
    <w:p>
      <w:pPr>
        <w:pStyle w:val="Normal"/>
        <w:tabs>
          <w:tab w:val="left" w:pos="900" w:leader="none"/>
          <w:tab w:val="left" w:pos="108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Срок реализации подпрограммы: 2014-2024 годы.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Планируемое изменение показателя, характеризующих уровень развития малого и среднего предпринимательства: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Увеличение целевого показателя 1 «Увеличение оборота  организаций малого и среднего бизнеса (включая микропредприятия)» в течение срока реализации подпрограммы.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Перечень целевых индикаторов Подпрограммы представлен в приложении № 1 к Подпрограмме.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 xml:space="preserve">6. </w:t>
      </w:r>
      <w:r>
        <w:rPr>
          <w:rFonts w:cs="Times New Roman" w:ascii="Times New Roman" w:hAnsi="Times New Roman"/>
          <w:b/>
          <w:bCs/>
          <w:color w:val="000000"/>
          <w:szCs w:val="24"/>
        </w:rPr>
        <w:t xml:space="preserve">Информация об основных мерах </w:t>
      </w:r>
      <w:r>
        <w:rPr>
          <w:rFonts w:cs="Times New Roman" w:ascii="Times New Roman" w:hAnsi="Times New Roman"/>
          <w:b/>
          <w:iCs/>
          <w:color w:val="000000"/>
          <w:szCs w:val="24"/>
        </w:rPr>
        <w:t xml:space="preserve">правового </w:t>
      </w:r>
      <w:r>
        <w:rPr>
          <w:rFonts w:cs="Times New Roman" w:ascii="Times New Roman" w:hAnsi="Times New Roman"/>
          <w:b/>
          <w:color w:val="000000"/>
          <w:szCs w:val="24"/>
        </w:rPr>
        <w:t>регулирования в инвестиционной сфере, сфере малого и среднего предпринимательства,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>направленные на достижение цели и (или) задач программы</w:t>
      </w:r>
    </w:p>
    <w:p>
      <w:pPr>
        <w:pStyle w:val="ConsPlusNormal1"/>
        <w:jc w:val="both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Cs/>
          <w:color w:val="000000"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 направленные на достижение цели и (или) задач муниципальной программы, не требуется.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rmal"/>
        <w:ind w:firstLine="567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7. Перечень объектов недвижимого имущества муниципальной собственности города  Шарыпово, подлежащих строительству, реконструкции, техническому перевооружению или приобретению</w:t>
      </w:r>
    </w:p>
    <w:p>
      <w:pPr>
        <w:pStyle w:val="Normal"/>
        <w:ind w:firstLine="567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540"/>
        <w:jc w:val="center"/>
        <w:rPr>
          <w:color w:val="000000"/>
        </w:rPr>
      </w:pPr>
      <w:r>
        <w:rPr>
          <w:b/>
          <w:color w:val="000000"/>
        </w:rPr>
        <w:t>8. Информация о ресурсном обеспечении муниципальной программы</w:t>
      </w:r>
    </w:p>
    <w:p>
      <w:pPr>
        <w:pStyle w:val="Normal"/>
        <w:ind w:firstLine="54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Информация о ресурсном обеспечении муниципальной программы за счет средств </w:t>
      </w:r>
      <w:r>
        <w:rPr>
          <w:color w:val="000000"/>
        </w:rPr>
        <w:t>бюджета города Шарыпово</w:t>
      </w:r>
      <w:r>
        <w:rPr>
          <w:bCs/>
          <w:color w:val="000000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rPr>
          <w:color w:val="000000"/>
        </w:rPr>
        <w:t>бюджета города Шарыпово</w:t>
      </w:r>
      <w:r>
        <w:rPr>
          <w:bCs/>
          <w:color w:val="000000"/>
        </w:rPr>
        <w:t>, в разрезе подпрограмм муниципальной программы), приведена в приложении</w:t>
      </w:r>
      <w:r>
        <w:rPr>
          <w:color w:val="000000"/>
        </w:rPr>
        <w:t xml:space="preserve"> № 2 к муниципальной программе.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Информация об источниках финансирования подпрограмм муниципальной программы (средства </w:t>
      </w:r>
      <w:r>
        <w:rPr>
          <w:color w:val="000000"/>
        </w:rPr>
        <w:t>бюджета города Шарыпово</w:t>
      </w:r>
      <w:r>
        <w:rPr>
          <w:bCs/>
          <w:color w:val="000000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>
      <w:pPr>
        <w:pStyle w:val="Normal"/>
        <w:ind w:firstLine="709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709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540"/>
        <w:jc w:val="center"/>
        <w:rPr>
          <w:color w:val="000000"/>
        </w:rPr>
      </w:pPr>
      <w:r>
        <w:rPr>
          <w:b/>
          <w:bCs/>
          <w:color w:val="000000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Normal"/>
        <w:ind w:firstLine="540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sectPr>
          <w:footerReference w:type="default" r:id="rId2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tbl>
      <w:tblPr>
        <w:tblW w:w="15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24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Перечень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tbl>
      <w:tblPr>
        <w:tblpPr w:bottomFromText="0" w:horzAnchor="text" w:leftFromText="180" w:rightFromText="180" w:tblpX="-75" w:tblpY="1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54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104"/>
        <w:gridCol w:w="3602"/>
        <w:gridCol w:w="1124"/>
        <w:gridCol w:w="1758"/>
        <w:gridCol w:w="823"/>
        <w:gridCol w:w="864"/>
        <w:gridCol w:w="798"/>
        <w:gridCol w:w="819"/>
        <w:gridCol w:w="825"/>
        <w:gridCol w:w="984"/>
        <w:gridCol w:w="843"/>
        <w:gridCol w:w="2"/>
        <w:gridCol w:w="863"/>
        <w:gridCol w:w="1010"/>
      </w:tblGrid>
      <w:tr>
        <w:trPr>
          <w:trHeight w:val="651" w:hRule="atLeast"/>
          <w:cantSplit w:val="true"/>
        </w:trPr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Цели,    целевые показатели муниципальной программы </w:t>
              <w:br/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57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Источник информации</w:t>
            </w:r>
          </w:p>
        </w:tc>
        <w:tc>
          <w:tcPr>
            <w:tcW w:w="5958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Годы реализации муниципальной программы</w:t>
            </w: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553" w:hRule="atLeast"/>
          <w:cantSplit w:val="true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60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758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2022</w:t>
            </w:r>
          </w:p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2023</w:t>
            </w:r>
          </w:p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2034 год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>
        <w:trPr>
          <w:trHeight w:val="594" w:hRule="atLeast"/>
          <w:cantSplit w:val="true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3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Оборот малых и средних предприятий в постоянных ценах по отношению к показателю 2014 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данные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100,1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104,1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105,7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107,4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108,7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108,9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109,1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110,1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113,3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Оборот в расчете на одного работника малых и средних предприятий в постоянных ценах по отношению к показателю 2014 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758" w:type="dxa"/>
            <w:vMerge w:val="continue"/>
            <w:tcBorders>
              <w:top w:val="single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101,0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104,9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106,3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107,9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113,7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110,2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110,5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115,4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118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7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2,6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4,3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7,0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7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27,69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27,5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29,4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29,6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29,8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35,1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39,94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Коэффициент "рождаемости"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данные Управления Федеральной службы государственной статистики по Красноярскому краю, Республике Хакасия и Республике Тыва и Управления ФНС России по Красноярскому краю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14,5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15,9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16,7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18,1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18,4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22,1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7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29,046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26,461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27,053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27,580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28,288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28,30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27,2</w:t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pPr w:bottomFromText="0" w:horzAnchor="margin" w:leftFromText="180" w:rightFromText="180" w:tblpX="0" w:tblpY="207" w:topFromText="0" w:vertAnchor="text"/>
        <w:tblW w:w="15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24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Информация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бюджетной системы и бюджетов государственных внебюджетных фондов</w:t>
      </w:r>
    </w:p>
    <w:tbl>
      <w:tblPr>
        <w:tblW w:w="15465" w:type="dxa"/>
        <w:jc w:val="left"/>
        <w:tblInd w:w="2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62"/>
        <w:gridCol w:w="1607"/>
        <w:gridCol w:w="2077"/>
        <w:gridCol w:w="2055"/>
        <w:gridCol w:w="1302"/>
        <w:gridCol w:w="843"/>
        <w:gridCol w:w="1639"/>
        <w:gridCol w:w="688"/>
        <w:gridCol w:w="28"/>
        <w:gridCol w:w="939"/>
        <w:gridCol w:w="959"/>
        <w:gridCol w:w="11"/>
        <w:gridCol w:w="965"/>
        <w:gridCol w:w="1289"/>
      </w:tblGrid>
      <w:tr>
        <w:trPr>
          <w:trHeight w:val="522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57" w:firstLine="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№</w:t>
            </w:r>
          </w:p>
          <w:p>
            <w:pPr>
              <w:pStyle w:val="ConsPlusNormal1"/>
              <w:tabs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57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Итого на 2022-2024гг</w:t>
            </w:r>
          </w:p>
        </w:tc>
      </w:tr>
      <w:tr>
        <w:trPr>
          <w:trHeight w:val="268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7 664,70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607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2344,90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2344,90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7034,70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08100S6074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255,00</w:t>
            </w:r>
          </w:p>
        </w:tc>
      </w:tr>
      <w:tr>
        <w:trPr>
          <w:trHeight w:val="30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7 664,70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607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2344,90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2344,90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7034,70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08100S6074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S607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255,00</w:t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pPr w:bottomFromText="0" w:horzAnchor="margin" w:leftFromText="180" w:rightFromText="180" w:tblpX="0" w:tblpY="-681" w:topFromText="0" w:vertAnchor="text"/>
        <w:tblW w:w="15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105"/>
        <w:gridCol w:w="8524"/>
      </w:tblGrid>
      <w:tr>
        <w:trPr>
          <w:trHeight w:val="707" w:hRule="atLeast"/>
        </w:trPr>
        <w:tc>
          <w:tcPr>
            <w:tcW w:w="7105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24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(тыс. руб.)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5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459"/>
        <w:gridCol w:w="2392"/>
        <w:gridCol w:w="4046"/>
        <w:gridCol w:w="3660"/>
        <w:gridCol w:w="1260"/>
        <w:gridCol w:w="1269"/>
        <w:gridCol w:w="23"/>
        <w:gridCol w:w="1243"/>
        <w:gridCol w:w="13"/>
        <w:gridCol w:w="1053"/>
      </w:tblGrid>
      <w:tr>
        <w:trPr>
          <w:trHeight w:val="570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N№ п/п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112" w:hanging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2022-2024 гг.</w:t>
            </w:r>
          </w:p>
        </w:tc>
      </w:tr>
      <w:tr>
        <w:trPr>
          <w:trHeight w:val="209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7 664,70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бюджет города Шарыпово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Style w:val="ListLabel3"/>
                  <w:rFonts w:cs="Times New Roman" w:ascii="Times New Roman" w:hAnsi="Times New Roman"/>
                  <w:color w:val="000000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2304,90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2304,90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2304,90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6914,70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Style w:val="ListLabel3"/>
                  <w:rFonts w:cs="Times New Roman" w:ascii="Times New Roman" w:hAnsi="Times New Roman"/>
                  <w:color w:val="000000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Подпрограмма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2554,90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7 664,70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бюджет города Шарыпово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Style w:val="ListLabel3"/>
                  <w:rFonts w:cs="Times New Roman" w:ascii="Times New Roman" w:hAnsi="Times New Roman"/>
                  <w:color w:val="000000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2304,90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2304,90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2304,90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6914,70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Style w:val="ListLabel3"/>
                  <w:rFonts w:cs="Times New Roman" w:ascii="Times New Roman" w:hAnsi="Times New Roman"/>
                  <w:color w:val="000000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sectPr>
          <w:footerReference w:type="default" r:id="rId3"/>
          <w:type w:val="nextPage"/>
          <w:pgSz w:orient="landscape" w:w="16838" w:h="11906"/>
          <w:pgMar w:left="567" w:right="851" w:header="0" w:top="284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9386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653"/>
        <w:gridCol w:w="5732"/>
      </w:tblGrid>
      <w:tr>
        <w:trPr>
          <w:trHeight w:val="1423" w:hRule="atLeast"/>
        </w:trPr>
        <w:tc>
          <w:tcPr>
            <w:tcW w:w="3653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73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</w:t>
            </w:r>
            <w:r>
              <w:rPr>
                <w:color w:val="000000"/>
                <w:sz w:val="22"/>
                <w:szCs w:val="22"/>
              </w:rPr>
              <w:t xml:space="preserve"> от 04</w:t>
            </w:r>
            <w:r>
              <w:rPr>
                <w:color w:val="000000"/>
              </w:rPr>
              <w:t>.10.2013  №   244</w:t>
            </w:r>
          </w:p>
        </w:tc>
      </w:tr>
    </w:tbl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 xml:space="preserve">Паспорт подпрограммы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«Развитие субъектов малого и среднего предпринимательства в городе Шарыпово»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191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999"/>
        <w:gridCol w:w="619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«Развитие субъектов малого и среднего предпринимательства в городе Шарыпово» (далее –  Подпрограмма)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«Развитие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Исполнитель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Цель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Задачи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2. Оказание поддержки субъектам малого и среднего предпринимательства.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3.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widowControl w:val="false"/>
              <w:spacing w:beforeAutospacing="0" w:before="280" w:afterAutospacing="0" w:after="28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перечень показателей результативности подпрограммы приведен в приложении № 1 к подпрограмме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Сроки реализации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2014 - 2024 годы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Информация по ресурсному обеспечению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>Объем финансирования составляет  24 852 897,50 руб.</w:t>
            </w:r>
            <w:r>
              <w:rPr>
                <w:color w:val="000000"/>
              </w:rPr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2014 год – 4 015 900,00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978 000,00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федеральный бюджет – 2 387 900,00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2015 год – </w:t>
            </w:r>
            <w:r>
              <w:rPr>
                <w:color w:val="000000" w:themeColor="text1"/>
              </w:rPr>
              <w:t>6 910 000,00</w:t>
            </w:r>
            <w:r>
              <w:rPr>
                <w:color w:val="000000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1 538 000,00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федеральный бюджет – 4 922 000,00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2016 год – 1992 997,50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1742997,50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2017 год – 1 250 000,00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1 000 000,00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2018 год – 1 831 800,00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1 581 800,00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2019 год – 70 000,00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—         70 000,00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2020 год – 867 500,00 </w:t>
            </w:r>
            <w:r>
              <w:rPr>
                <w:color w:val="000000"/>
              </w:rPr>
              <w:t>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 617 500,00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2021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—       250 000,00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2022 год – 2 554 900,00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2 304 900,00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2023 год – 2 554 900,00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2 304 900,00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2024 год </w:t>
            </w:r>
            <w:r>
              <w:rPr>
                <w:color w:val="000000"/>
              </w:rPr>
              <w:t>– 2 554 900,00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краевой бюджет – 2 304 900,00 рублей.</w:t>
            </w:r>
          </w:p>
        </w:tc>
      </w:tr>
    </w:tbl>
    <w:p>
      <w:pPr>
        <w:pStyle w:val="Normal"/>
        <w:tabs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tabs>
          <w:tab w:val="left" w:pos="900" w:leader="none"/>
          <w:tab w:val="left" w:pos="1080" w:leader="none"/>
        </w:tabs>
        <w:ind w:left="720" w:firstLine="709"/>
        <w:jc w:val="center"/>
        <w:rPr>
          <w:color w:val="000000"/>
        </w:rPr>
      </w:pPr>
      <w:r>
        <w:rPr>
          <w:b/>
          <w:color w:val="000000"/>
        </w:rPr>
        <w:t>2. Мероприятия Подпрограммы</w:t>
      </w:r>
    </w:p>
    <w:p>
      <w:pPr>
        <w:pStyle w:val="Normal"/>
        <w:tabs>
          <w:tab w:val="left" w:pos="900" w:leader="none"/>
          <w:tab w:val="left" w:pos="1080" w:leader="none"/>
        </w:tabs>
        <w:ind w:firstLine="714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Второй блок:  «Оказание поддержки субъектам малого и среднего предпринимательства».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Третий блок:  «Обеспечение деятельности инфраструктуры поддержки субъектов малого и среднего предпринимательства».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Мероприятия первого блока: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1.1.  Пропаганда и популяризация предпринимательской деятельности.</w:t>
      </w:r>
    </w:p>
    <w:p>
      <w:pPr>
        <w:pStyle w:val="Normal"/>
        <w:tabs>
          <w:tab w:val="left" w:pos="1134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1.2. Информационная и консультационная поддержка субъектов малого и среднего предпринимательства.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Мероприятия второго блока: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2.1. Имущественная поддержка субъектов малого и среднего предпринимательства.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2.2. Финансовая поддержка субъектов малого и среднего предпринимательства.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Мероприятия третьего блока:</w:t>
      </w:r>
    </w:p>
    <w:p>
      <w:pPr>
        <w:pStyle w:val="Normal"/>
        <w:ind w:firstLine="714"/>
        <w:jc w:val="both"/>
        <w:rPr/>
      </w:pPr>
      <w:r>
        <w:rPr>
          <w:color w:val="000000"/>
        </w:rPr>
        <w:t xml:space="preserve">3.1.  Обеспечение деятельности АНО </w:t>
      </w:r>
      <w:r>
        <w:rPr>
          <w:rStyle w:val="Strong"/>
          <w:color w:val="000000"/>
        </w:rPr>
        <w:t>«</w:t>
      </w:r>
      <w:r>
        <w:rPr>
          <w:color w:val="000000"/>
        </w:rPr>
        <w:t>Агентство поддержки МСБ г. Шарыпово</w:t>
      </w:r>
      <w:r>
        <w:rPr>
          <w:rStyle w:val="Strong"/>
          <w:color w:val="000000"/>
        </w:rPr>
        <w:t>».</w:t>
      </w:r>
      <w:r>
        <w:rPr>
          <w:color w:val="000000"/>
        </w:rPr>
        <w:t xml:space="preserve"> 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Мероприятия Подпрограммы: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1. Первый блок:</w:t>
      </w:r>
      <w:r>
        <w:rPr>
          <w:color w:val="000000"/>
        </w:rPr>
        <w:t xml:space="preserve">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Мероприятия первого блока реализуются отделом экономики и планирования Администрации города Шарыпово совместно с АНО «Агентство поддержки МСБ г. Шарыпово», Управлением образования Администрации города Шарыпово и КГБУ «Центр занятости населения города Шарыпово».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1.1 Пропаганда и популяризация предпринимательской деятельности.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1.1.1. Информирование населения муниципального образования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1.1.2. Организация и проведение городского конкурса «Лучший предприниматель города Шарыпово». Организация городской  олимпиады «Я предприниматель» среди учащихся 11 классов.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1.2. Информационная и консультационная поддержка субъектов малого и среднего предпринимательства</w:t>
      </w:r>
      <w:r>
        <w:rPr>
          <w:color w:val="000000"/>
        </w:rPr>
        <w:t>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 xml:space="preserve">Производится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r>
        <w:rPr>
          <w:color w:val="000000"/>
          <w:lang w:val="en-US"/>
        </w:rPr>
        <w:t>gorodsharypovo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 xml:space="preserve"> – вкладка «В помощь бизнесу», а также рассылка актуальной информации по электронной почте.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Консультирование субъектов малого и среднего предпринимательства, будущих 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2. Второй блок: «Оказание поддержки субъектам малого и среднего предпринимательства».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 и АНО «Агентство  поддержки МСБ г. Шарыпово».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2.1  Имущественная поддержка субъектов малого и среднего предпринимательства.</w:t>
      </w:r>
    </w:p>
    <w:p>
      <w:pPr>
        <w:pStyle w:val="Normal"/>
        <w:tabs>
          <w:tab w:val="left" w:pos="72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2.2.  Финансовая поддержка субъектов малого и среднего предпринимательства.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tabs>
          <w:tab w:val="left" w:pos="900" w:leader="none"/>
          <w:tab w:val="left" w:pos="108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Финансовая поддержка, оказывается, по следующим направлениям: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2.2.2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2.2.3 Субсидии на возмещение части затрат по приобретению оборудования за счет кредитов и займов.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2.2.5 Субсидии на возмещение части затрат, связанных с продвижением товаров (работ, услуг) и (или) повышением качества производимых товаров (работ, услуг).</w:t>
      </w:r>
    </w:p>
    <w:p>
      <w:pPr>
        <w:pStyle w:val="Normal"/>
        <w:tabs>
          <w:tab w:val="left" w:pos="900" w:leader="none"/>
        </w:tabs>
        <w:ind w:firstLine="714"/>
        <w:jc w:val="both"/>
        <w:rPr/>
      </w:pPr>
      <w:r>
        <w:rPr>
          <w:color w:val="000000"/>
        </w:rP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Strong"/>
          <w:b w:val="false"/>
          <w:color w:val="000000"/>
        </w:rPr>
        <w:t>«Об утверждении  Положения о порядке предоставления субсидий для субъектов малого и (или) среднего предпринимательства»</w:t>
      </w:r>
      <w:r>
        <w:rPr>
          <w:color w:val="000000"/>
        </w:rPr>
        <w:t>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3. Третий блок:  «Развитие инфраструктуры поддержки субъектов малого и среднего предпринимательства».</w:t>
      </w:r>
    </w:p>
    <w:p>
      <w:pPr>
        <w:pStyle w:val="Normal"/>
        <w:numPr>
          <w:ilvl w:val="0"/>
          <w:numId w:val="0"/>
        </w:numPr>
        <w:ind w:firstLine="714"/>
        <w:jc w:val="both"/>
        <w:outlineLvl w:val="2"/>
        <w:rPr/>
      </w:pPr>
      <w:r>
        <w:rPr>
          <w:color w:val="000000"/>
        </w:rPr>
        <w:t xml:space="preserve">3.1.  Обеспечение деятельности АНО </w:t>
      </w:r>
      <w:r>
        <w:rPr>
          <w:rStyle w:val="Strong"/>
          <w:color w:val="000000"/>
        </w:rPr>
        <w:t>«</w:t>
      </w:r>
      <w:r>
        <w:rPr>
          <w:color w:val="000000"/>
        </w:rPr>
        <w:t>Агентство поддержки МСБ г. Шарыпово</w:t>
      </w:r>
      <w:r>
        <w:rPr>
          <w:rStyle w:val="Strong"/>
          <w:color w:val="000000"/>
        </w:rPr>
        <w:t>»</w:t>
      </w:r>
      <w:r>
        <w:rPr>
          <w:color w:val="000000"/>
        </w:rPr>
        <w:t>.</w:t>
      </w:r>
    </w:p>
    <w:p>
      <w:pPr>
        <w:pStyle w:val="Normal"/>
        <w:numPr>
          <w:ilvl w:val="0"/>
          <w:numId w:val="0"/>
        </w:numPr>
        <w:ind w:firstLine="714"/>
        <w:jc w:val="both"/>
        <w:outlineLvl w:val="2"/>
        <w:rPr>
          <w:color w:val="000000"/>
        </w:rPr>
      </w:pPr>
      <w:r>
        <w:rPr>
          <w:color w:val="000000"/>
        </w:rPr>
        <w:t>3.1.1. Работа АНО «Агентство поддержки МСБ г. Шарыпово».</w:t>
      </w:r>
    </w:p>
    <w:p>
      <w:pPr>
        <w:pStyle w:val="Normal"/>
        <w:numPr>
          <w:ilvl w:val="0"/>
          <w:numId w:val="0"/>
        </w:numPr>
        <w:ind w:firstLine="714"/>
        <w:jc w:val="both"/>
        <w:outlineLvl w:val="2"/>
        <w:rPr>
          <w:color w:val="000000"/>
        </w:rPr>
      </w:pPr>
      <w:r>
        <w:rPr>
          <w:color w:val="000000"/>
        </w:rPr>
        <w:t>Основные направления деятельности организации: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информационная поддержка деятельности субъектов малого и среднего предпринимательства;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тренинги и семинары для предпринимателей;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консультации по различным аспектам и правовым вопросам предпринимательской деятельности;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разработка бизнес-планов;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экспертиза предпринимательских проектов;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исследование рынка и маркетинговые услуги.</w:t>
      </w:r>
    </w:p>
    <w:p>
      <w:pPr>
        <w:pStyle w:val="Normal"/>
        <w:tabs>
          <w:tab w:val="left" w:pos="90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 xml:space="preserve">Порядок предоставления субсидии для обеспечения деятельности АНО «Агентство поддержки МСБ г. Шарыпово» определяется  Постановлением Администрации города Шарыпово. </w:t>
      </w:r>
    </w:p>
    <w:p>
      <w:pPr>
        <w:pStyle w:val="Normal"/>
        <w:tabs>
          <w:tab w:val="left" w:pos="90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Перечень мероприятий Подпрограммы  указан в приложении № 2 к настоящей Подпрограмме.</w:t>
      </w:r>
    </w:p>
    <w:p>
      <w:pPr>
        <w:pStyle w:val="ConsPlusNormal1"/>
        <w:numPr>
          <w:ilvl w:val="0"/>
          <w:numId w:val="0"/>
        </w:numPr>
        <w:ind w:firstLine="714"/>
        <w:jc w:val="center"/>
        <w:outlineLvl w:val="2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numPr>
          <w:ilvl w:val="0"/>
          <w:numId w:val="0"/>
        </w:numPr>
        <w:ind w:firstLine="714"/>
        <w:jc w:val="center"/>
        <w:outlineLvl w:val="2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>3. Механизм реализации подпрограммы</w:t>
      </w:r>
    </w:p>
    <w:p>
      <w:pPr>
        <w:pStyle w:val="ConsPlusNormal1"/>
        <w:numPr>
          <w:ilvl w:val="0"/>
          <w:numId w:val="0"/>
        </w:numPr>
        <w:ind w:firstLine="714"/>
        <w:jc w:val="center"/>
        <w:outlineLvl w:val="2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numPr>
          <w:ilvl w:val="0"/>
          <w:numId w:val="0"/>
        </w:numPr>
        <w:ind w:firstLine="714"/>
        <w:jc w:val="center"/>
        <w:outlineLvl w:val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numPr>
          <w:ilvl w:val="0"/>
          <w:numId w:val="0"/>
        </w:numPr>
        <w:ind w:firstLine="714"/>
        <w:jc w:val="center"/>
        <w:outlineLvl w:val="0"/>
        <w:rPr>
          <w:color w:val="000000"/>
        </w:rPr>
      </w:pPr>
      <w:r>
        <w:rPr>
          <w:b/>
          <w:color w:val="000000"/>
        </w:rPr>
        <w:t>4. Управление подпрограммой и контроль за исполнением подпрограммы</w:t>
      </w:r>
    </w:p>
    <w:p>
      <w:pPr>
        <w:pStyle w:val="Normal"/>
        <w:ind w:firstLine="714"/>
        <w:rPr>
          <w:color w:val="000000"/>
        </w:rPr>
      </w:pPr>
      <w:r>
        <w:rPr>
          <w:color w:val="000000"/>
        </w:rPr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Управление реализацией подпрограммы осуществляет ответственный исполнитель – Администрация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Контроль за законностью, результативностью (эффективностью и экономностью) использования средств бюджета города Шарыпово  осуществляет Контрольно - счетная палата города Шарыпово.</w:t>
      </w:r>
    </w:p>
    <w:p>
      <w:pPr>
        <w:pStyle w:val="Normal"/>
        <w:ind w:firstLine="7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ectPr>
          <w:footerReference w:type="default" r:id="rId4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ind w:left="72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pPr w:bottomFromText="0" w:horzAnchor="margin" w:leftFromText="180" w:rightFromText="180" w:tblpX="0" w:tblpY="751" w:topFromText="0" w:vertAnchor="page"/>
        <w:tblW w:w="15481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539"/>
        <w:gridCol w:w="7941"/>
      </w:tblGrid>
      <w:tr>
        <w:trPr>
          <w:trHeight w:val="247" w:hRule="atLeast"/>
        </w:trPr>
        <w:tc>
          <w:tcPr>
            <w:tcW w:w="7539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left" w:pos="10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41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color w:val="000000"/>
                <w:sz w:val="22"/>
                <w:szCs w:val="22"/>
              </w:rPr>
              <w:t xml:space="preserve"> от 04</w:t>
            </w:r>
            <w:r>
              <w:rPr>
                <w:color w:val="000000"/>
              </w:rPr>
              <w:t>.10.2013  №   244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Перечень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и значения показателей результативности подпрограммы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54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87"/>
        <w:gridCol w:w="5787"/>
        <w:gridCol w:w="1073"/>
        <w:gridCol w:w="2043"/>
        <w:gridCol w:w="1385"/>
        <w:gridCol w:w="1420"/>
        <w:gridCol w:w="1517"/>
        <w:gridCol w:w="1706"/>
      </w:tblGrid>
      <w:tr>
        <w:trPr>
          <w:trHeight w:val="315" w:hRule="atLeast"/>
          <w:cantSplit w:val="true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5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0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</w:tr>
      <w:tr>
        <w:trPr>
          <w:trHeight w:val="557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Цель Подпрограммы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млн. руб.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0,6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0,6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1.2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1.3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</w:tr>
      <w:tr>
        <w:trPr>
          <w:trHeight w:val="418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b/>
                <w:b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page">
                  <wp:posOffset>629285</wp:posOffset>
                </wp:positionH>
                <wp:positionV relativeFrom="paragraph">
                  <wp:posOffset>63500</wp:posOffset>
                </wp:positionV>
                <wp:extent cx="9925685" cy="875665"/>
                <wp:effectExtent l="0" t="0" r="0" b="0"/>
                <wp:wrapSquare wrapText="bothSides"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200" cy="87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630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blCellMar>
                              <w:tblLook w:lastRow="0" w:firstRow="0" w:lastColumn="0" w:firstColumn="0" w:val="0000" w:noHBand="0" w:noVBand="0"/>
                            </w:tblPr>
                            <w:tblGrid>
                              <w:gridCol w:w="7105"/>
                              <w:gridCol w:w="8524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710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both"/>
                                    <w:rPr/>
                                  </w:pPr>
                                  <w:r>
                                    <w:rPr/>
                                    <w:t xml:space="preserve"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от 04</w:t>
                                  </w:r>
                                  <w:r>
                                    <w:rPr/>
                                    <w:t>.10.2013  №   244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9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49.55pt;margin-top:5pt;width:781.45pt;height:68.8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630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30" w:type="dxa"/>
                          <w:bottom w:w="0" w:type="dxa"/>
                          <w:right w:w="30" w:type="dxa"/>
                        </w:tblCellMar>
                        <w:tblLook w:lastRow="0" w:firstRow="0" w:lastColumn="0" w:firstColumn="0" w:val="0000" w:noHBand="0" w:noVBand="0"/>
                      </w:tblPr>
                      <w:tblGrid>
                        <w:gridCol w:w="7105"/>
                        <w:gridCol w:w="8524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710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5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both"/>
                              <w:rPr/>
                            </w:pPr>
                            <w:r>
                              <w:rPr/>
                              <w:t xml:space="preserve"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от 04</w:t>
                            </w:r>
                            <w:r>
                              <w:rPr/>
                              <w:t>.10.2013  №   244</w:t>
                            </w:r>
                          </w:p>
                        </w:tc>
                      </w:tr>
                    </w:tbl>
                    <w:p>
                      <w:pPr>
                        <w:pStyle w:val="Style29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</w:rPr>
      </w:pPr>
      <w:r>
        <w:rPr>
          <w:color w:val="000000"/>
          <w:sz w:val="26"/>
          <w:szCs w:val="26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</w:rPr>
      </w:pPr>
      <w:r>
        <w:rPr>
          <w:color w:val="000000"/>
        </w:rPr>
      </w:r>
    </w:p>
    <w:tbl>
      <w:tblPr>
        <w:tblW w:w="1587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199"/>
        <w:gridCol w:w="1357"/>
        <w:gridCol w:w="678"/>
        <w:gridCol w:w="695"/>
        <w:gridCol w:w="1192"/>
        <w:gridCol w:w="546"/>
        <w:gridCol w:w="5"/>
        <w:gridCol w:w="24"/>
        <w:gridCol w:w="1250"/>
        <w:gridCol w:w="1281"/>
        <w:gridCol w:w="1276"/>
        <w:gridCol w:w="1204"/>
        <w:gridCol w:w="214"/>
        <w:gridCol w:w="1"/>
        <w:gridCol w:w="1948"/>
      </w:tblGrid>
      <w:tr>
        <w:trPr>
          <w:trHeight w:val="493" w:hRule="atLeast"/>
        </w:trPr>
        <w:tc>
          <w:tcPr>
            <w:tcW w:w="4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3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</w:t>
              <w:br/>
              <w:t>(руб.), годы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4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 на 2022 - 2024 годов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Цель Подпрограммы:  Создание благоприятных условий для развития малого и среднего предпринимательства на территории города.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207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Мероприятие 1.1</w:t>
            </w:r>
            <w:r>
              <w:rPr>
                <w:iCs/>
                <w:color w:val="000000"/>
              </w:rPr>
              <w:t xml:space="preserve">   Пропаганда и популяризация предпринимательской деятельности</w:t>
            </w:r>
          </w:p>
          <w:p>
            <w:pPr>
              <w:pStyle w:val="Normal"/>
              <w:widowControl w:val="false"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1.1.1 Информирование населения муниципального образования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1.1.2 Организация и проведение городского конкурса «Лучший предприниматель города Шарыпово». Организация городской  олимпиады «Я предприниматель» среди учащихся 11 классов.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Ад</w:t>
            </w:r>
            <w:r>
              <w:rPr>
                <w:color w:val="000000"/>
                <w:sz w:val="16"/>
                <w:szCs w:val="16"/>
              </w:rPr>
              <w:t>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139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 xml:space="preserve">Мероприятие 1.2 Информационная и консультационная поддержка </w:t>
            </w:r>
            <w:r>
              <w:rPr>
                <w:color w:val="000000"/>
                <w:sz w:val="20"/>
                <w:szCs w:val="20"/>
              </w:rPr>
              <w:t>субъектов малого и среднего предпринимательства</w:t>
            </w:r>
          </w:p>
          <w:p>
            <w:pPr>
              <w:pStyle w:val="Normal"/>
              <w:widowControl w:val="false"/>
              <w:tabs>
                <w:tab w:val="left" w:pos="540" w:leader="none"/>
                <w:tab w:val="left" w:pos="720" w:leader="none"/>
              </w:tabs>
              <w:jc w:val="both"/>
              <w:rPr/>
            </w:pPr>
            <w:r>
              <w:rPr>
                <w:sz w:val="20"/>
                <w:szCs w:val="20"/>
              </w:rPr>
              <w:t>Воспол</w:t>
            </w:r>
            <w:r>
              <w:rPr>
                <w:color w:val="000000"/>
                <w:sz w:val="20"/>
                <w:szCs w:val="20"/>
              </w:rPr>
              <w:t>ьзоваться муниципальной услугой имеют право юридические лица и индивидуальные предприниматели, отнесенные к субъектам малого и среднего предпринимательства в соответствии с требованиями статьи  4 Федерального закона от 24.07.2007 № 209-ФЗ «О развитии малого и среднего предпринимательства в Российской Федерации», а также ф</w:t>
            </w:r>
            <w:r>
              <w:rPr>
                <w:sz w:val="20"/>
                <w:szCs w:val="20"/>
              </w:rPr>
              <w:t xml:space="preserve">изические лица, не являющиеся индивидуальными предпринимателями и применяющие специальный налоговый </w:t>
            </w:r>
            <w:hyperlink r:id="rId5">
              <w:r>
                <w:rPr>
                  <w:rStyle w:val="ListLabel4"/>
                  <w:color w:val="000000"/>
                  <w:sz w:val="20"/>
                  <w:szCs w:val="20"/>
                </w:rPr>
                <w:t>режим</w:t>
              </w:r>
            </w:hyperlink>
            <w:r>
              <w:rPr>
                <w:sz w:val="20"/>
                <w:szCs w:val="20"/>
              </w:rPr>
              <w:t xml:space="preserve"> «Налог на профессиональный доход» (далее – самозанятые).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540" w:leader="none"/>
                <w:tab w:val="left" w:pos="72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для СМСП на сайте gorodsharypovo.ru – вкладка «В помощь бизнесу» – не менее 5  информационных материалов, ежегодно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>
        <w:trPr>
          <w:trHeight w:val="268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</w:tc>
      </w:tr>
      <w:tr>
        <w:trPr>
          <w:trHeight w:val="268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 менее 10  консультаций, ежегодно.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Задача 2   Оказание поддержки субъектам малого и среднего предпринимательства.</w:t>
            </w:r>
          </w:p>
        </w:tc>
      </w:tr>
      <w:tr>
        <w:trPr>
          <w:trHeight w:val="124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Мероприятие 2.1.  Имущественная поддержка субъектов 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Мероприятие 2.2    Финансовая поддержка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Autospacing="0" w:before="220" w:afterAutospacing="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08100</w:t>
            </w:r>
            <w:r>
              <w:rPr>
                <w:color w:val="000000"/>
                <w:sz w:val="18"/>
                <w:szCs w:val="18"/>
                <w:lang w:val="en-US"/>
              </w:rPr>
              <w:t>S607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Поддержано субъектов МСП – не менее 1 ед.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Создано рабочих мест  – не менее 1 ед.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Сохранено рабочих мест не менее – 1 ед.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 привлеченных инвестиций – не менее 0,6 млн. рублей.</w:t>
            </w:r>
          </w:p>
        </w:tc>
      </w:tr>
      <w:tr>
        <w:trPr>
          <w:trHeight w:val="1173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2.2.2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0810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S607</w:t>
            </w:r>
            <w:r>
              <w:rPr>
                <w:color w:val="000000"/>
                <w:sz w:val="18"/>
                <w:szCs w:val="18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0810</w:t>
            </w:r>
            <w:r>
              <w:rPr>
                <w:color w:val="000000"/>
                <w:sz w:val="18"/>
                <w:szCs w:val="18"/>
              </w:rPr>
              <w:t>07</w:t>
            </w:r>
            <w:r>
              <w:rPr>
                <w:color w:val="000000"/>
                <w:sz w:val="18"/>
                <w:szCs w:val="18"/>
                <w:lang w:val="en-US"/>
              </w:rPr>
              <w:t>607</w:t>
            </w:r>
            <w:r>
              <w:rPr>
                <w:color w:val="000000"/>
                <w:sz w:val="18"/>
                <w:szCs w:val="18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2 304 900,00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2 304 900,00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2 304 900,00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120 000,00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6 914 700,00</w:t>
            </w:r>
          </w:p>
        </w:tc>
        <w:tc>
          <w:tcPr>
            <w:tcW w:w="19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2.2.3 Субсидии на возмещение части затрат по приобретению оборудования за счет кредитов и займов.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0810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S607</w:t>
            </w:r>
            <w:r>
              <w:rPr>
                <w:color w:val="000000"/>
                <w:sz w:val="18"/>
                <w:szCs w:val="18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9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0810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S607</w:t>
            </w:r>
            <w:r>
              <w:rPr>
                <w:color w:val="000000"/>
                <w:sz w:val="18"/>
                <w:szCs w:val="18"/>
              </w:rPr>
              <w:t>5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9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2.2.5 Субсидии на возмещение части затрат, связанных с продвижением товаров (работ, услуг) и (или) повышением качества производимых товаров (работ, услуг).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0810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S607</w:t>
            </w:r>
            <w:r>
              <w:rPr>
                <w:color w:val="000000"/>
                <w:sz w:val="18"/>
                <w:szCs w:val="18"/>
              </w:rPr>
              <w:t>6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255 000,00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Задача 3   Обеспечение деятельности инфраструктуры поддержки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Мероприятие 3.1  Обеспечение деятельности АНО </w:t>
            </w:r>
            <w:r>
              <w:rPr>
                <w:rStyle w:val="Strong"/>
                <w:color w:val="000000"/>
              </w:rPr>
              <w:t>«</w:t>
            </w:r>
            <w:r>
              <w:rPr>
                <w:color w:val="000000"/>
              </w:rPr>
              <w:t>Агентство поддержки МСБ г. Шарыпово</w:t>
            </w:r>
            <w:r>
              <w:rPr>
                <w:rStyle w:val="Strong"/>
                <w:color w:val="000000"/>
              </w:rPr>
              <w:t>»</w:t>
            </w:r>
          </w:p>
        </w:tc>
      </w:tr>
      <w:tr>
        <w:trPr>
          <w:trHeight w:val="1138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3.1.1   Работа АНО «Агентство поддержки МСБ г. Шарыпово»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08100</w:t>
            </w:r>
            <w:r>
              <w:rPr>
                <w:color w:val="000000"/>
                <w:sz w:val="18"/>
                <w:szCs w:val="18"/>
                <w:lang w:val="en-US"/>
              </w:rPr>
              <w:t>S607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 –  1</w:t>
            </w:r>
          </w:p>
        </w:tc>
      </w:tr>
      <w:tr>
        <w:trPr>
          <w:trHeight w:val="300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2 554 900,00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2 554 900,00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2 554 900,00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7 664 700,00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right"/>
        <w:rPr/>
      </w:pPr>
      <w:r>
        <w:rPr>
          <w:color w:val="000000"/>
        </w:rPr>
        <w:t>»</w:t>
      </w:r>
    </w:p>
    <w:sectPr>
      <w:footerReference w:type="default" r:id="rId6"/>
      <w:type w:val="nextPage"/>
      <w:pgSz w:orient="landscape" w:w="16838" w:h="11906"/>
      <w:pgMar w:left="567" w:right="851" w:header="0" w:top="851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10" wp14:anchorId="613BE3D4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108710" cy="191770"/>
              <wp:effectExtent l="0" t="0" r="0" b="0"/>
              <wp:wrapSquare wrapText="bothSides"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8080" cy="1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371.45pt;margin-top:0.05pt;width:87.2pt;height:15pt;mso-position-horizontal:right" wp14:anchorId="613BE3D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786" w:hanging="1077"/>
      </w:pPr>
      <w:rPr>
        <w:sz w:val="27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4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20d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4" w:customStyle="1">
    <w:name w:val="Интернет-ссылка"/>
    <w:rsid w:val="0052348d"/>
    <w:rPr>
      <w:color w:val="0000FF"/>
      <w:u w:val="single"/>
    </w:rPr>
  </w:style>
  <w:style w:type="character" w:styleId="Style15" w:customStyle="1">
    <w:name w:val="Посещённая гиперссылка"/>
    <w:qFormat/>
    <w:rsid w:val="0052348d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" w:customStyle="1">
    <w:name w:val="Заголовок 1 Знак"/>
    <w:basedOn w:val="DefaultParagraphFont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8b3f88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2c25b7"/>
    <w:rPr>
      <w:sz w:val="28"/>
      <w:szCs w:val="24"/>
    </w:rPr>
  </w:style>
  <w:style w:type="character" w:styleId="Style20">
    <w:name w:val="Выделение"/>
    <w:basedOn w:val="DefaultParagraphFont"/>
    <w:uiPriority w:val="20"/>
    <w:qFormat/>
    <w:rsid w:val="009c13ed"/>
    <w:rPr>
      <w:i/>
      <w:iCs/>
    </w:rPr>
  </w:style>
  <w:style w:type="character" w:styleId="ListLabel1">
    <w:name w:val="ListLabel 1"/>
    <w:qFormat/>
    <w:rPr>
      <w:rFonts w:ascii="Times New Roman" w:hAnsi="Times New Roman"/>
      <w:sz w:val="27"/>
    </w:rPr>
  </w:style>
  <w:style w:type="character" w:styleId="ListLabel2">
    <w:name w:val="ListLabel 2"/>
    <w:qFormat/>
    <w:rPr>
      <w:rFonts w:ascii="Times New Roman" w:hAnsi="Times New Roman" w:cs="Times New Roman"/>
      <w:color w:val="000000"/>
      <w:szCs w:val="24"/>
    </w:rPr>
  </w:style>
  <w:style w:type="character" w:styleId="ListLabel3">
    <w:name w:val="ListLabel 3"/>
    <w:qFormat/>
    <w:rPr>
      <w:rFonts w:ascii="Times New Roman" w:hAnsi="Times New Roman" w:cs="Times New Roman"/>
      <w:color w:val="000000"/>
      <w:sz w:val="21"/>
      <w:szCs w:val="21"/>
    </w:rPr>
  </w:style>
  <w:style w:type="character" w:styleId="ListLabel4">
    <w:name w:val="ListLabel 4"/>
    <w:qFormat/>
    <w:rPr>
      <w:color w:val="000000"/>
      <w:sz w:val="20"/>
      <w:szCs w:val="20"/>
    </w:rPr>
  </w:style>
  <w:style w:type="character" w:styleId="ListLabel5">
    <w:name w:val="ListLabel 5"/>
    <w:qFormat/>
    <w:rPr>
      <w:rFonts w:ascii="Times New Roman" w:hAnsi="Times New Roman"/>
      <w:sz w:val="27"/>
    </w:rPr>
  </w:style>
  <w:style w:type="character" w:styleId="ListLabel6">
    <w:name w:val="ListLabel 6"/>
    <w:qFormat/>
    <w:rPr>
      <w:rFonts w:ascii="Times New Roman" w:hAnsi="Times New Roman" w:cs="Times New Roman"/>
      <w:color w:val="000000"/>
      <w:szCs w:val="24"/>
    </w:rPr>
  </w:style>
  <w:style w:type="character" w:styleId="ListLabel7">
    <w:name w:val="ListLabel 7"/>
    <w:qFormat/>
    <w:rPr>
      <w:rFonts w:ascii="Times New Roman" w:hAnsi="Times New Roman" w:cs="Times New Roman"/>
      <w:color w:val="000000"/>
      <w:sz w:val="21"/>
      <w:szCs w:val="21"/>
    </w:rPr>
  </w:style>
  <w:style w:type="character" w:styleId="ListLabel8">
    <w:name w:val="ListLabel 8"/>
    <w:qFormat/>
    <w:rPr>
      <w:color w:val="000000"/>
      <w:sz w:val="20"/>
      <w:szCs w:val="20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rsid w:val="0052348d"/>
    <w:pPr>
      <w:spacing w:before="0" w:after="120"/>
    </w:pPr>
    <w:rPr/>
  </w:style>
  <w:style w:type="paragraph" w:styleId="Style23">
    <w:name w:val="List"/>
    <w:basedOn w:val="Style22"/>
    <w:rsid w:val="00b12eb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 11"/>
    <w:basedOn w:val="Normal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link w:val="2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qFormat/>
    <w:rsid w:val="0052348d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2" w:customStyle="1">
    <w:name w:val="Заголовок1"/>
    <w:basedOn w:val="Normal"/>
    <w:qFormat/>
    <w:rsid w:val="00b12eb2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3" w:customStyle="1">
    <w:name w:val="Название объекта1"/>
    <w:basedOn w:val="Normal"/>
    <w:qFormat/>
    <w:rsid w:val="00b12eb2"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rsid w:val="00b12eb2"/>
    <w:pPr>
      <w:suppressLineNumbers/>
    </w:pPr>
    <w:rPr>
      <w:rFonts w:cs="Lohit Devanagari"/>
    </w:rPr>
  </w:style>
  <w:style w:type="paragraph" w:styleId="Style26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7" w:customStyle="1">
    <w:name w:val="Верхний и нижний колонтитулы"/>
    <w:basedOn w:val="Normal"/>
    <w:qFormat/>
    <w:rsid w:val="00b12eb2"/>
    <w:pPr/>
    <w:rPr/>
  </w:style>
  <w:style w:type="paragraph" w:styleId="14" w:customStyle="1">
    <w:name w:val="Верхний колонтитул1"/>
    <w:basedOn w:val="Normal"/>
    <w:qFormat/>
    <w:rsid w:val="0052348d"/>
    <w:pPr>
      <w:tabs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qFormat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2348d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e07230"/>
    <w:pPr>
      <w:widowControl w:val="fals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16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9" w:customStyle="1">
    <w:name w:val="Содержимое врезки"/>
    <w:basedOn w:val="Normal"/>
    <w:qFormat/>
    <w:rsid w:val="00b12eb2"/>
    <w:pPr/>
    <w:rPr/>
  </w:style>
  <w:style w:type="paragraph" w:styleId="Style30" w:customStyle="1">
    <w:name w:val="Содержимое таблицы"/>
    <w:basedOn w:val="Normal"/>
    <w:qFormat/>
    <w:rsid w:val="00b12eb2"/>
    <w:pPr>
      <w:suppressLineNumbers/>
    </w:pPr>
    <w:rPr/>
  </w:style>
  <w:style w:type="paragraph" w:styleId="Style31" w:customStyle="1">
    <w:name w:val="Заголовок таблицы"/>
    <w:basedOn w:val="Style30"/>
    <w:qFormat/>
    <w:rsid w:val="00b12eb2"/>
    <w:pPr>
      <w:jc w:val="center"/>
    </w:pPr>
    <w:rPr>
      <w:b/>
      <w:bCs/>
    </w:rPr>
  </w:style>
  <w:style w:type="paragraph" w:styleId="Style32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sid w:val="00dd56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consultantplus://offline/ref=95DF936464C9974784078D76DF148052DC82AD4765A063746BBCBA285EAC965976B7D8DC0CA7432F164F6D664967V0J" TargetMode="External"/><Relationship Id="rId6" Type="http://schemas.openxmlformats.org/officeDocument/2006/relationships/footer" Target="foot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7315-F2E5-4070-B30D-A7093DA3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LibreOffice/6.0.7.3$Linux_X86_64 LibreOffice_project/00m0$Build-3</Application>
  <Pages>23</Pages>
  <Words>5760</Words>
  <Characters>41911</Characters>
  <CharactersWithSpaces>47247</CharactersWithSpaces>
  <Paragraphs>776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2021-11-11T06:49:00Z</dcterms:created>
  <dc:creator>Admin</dc:creator>
  <dc:description/>
  <dc:language>ru-RU</dc:language>
  <cp:lastModifiedBy/>
  <cp:lastPrinted>2021-11-01T07:14:00Z</cp:lastPrinted>
  <dcterms:modified xsi:type="dcterms:W3CDTF">2021-11-11T14:33:56Z</dcterms:modified>
  <cp:revision>4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