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ПОСТАНОВЛЕНИЕ</w:t>
      </w:r>
    </w:p>
    <w:p>
      <w:pPr>
        <w:pStyle w:val="Normal"/>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19.11.2020</w:t>
        <w:tab/>
        <w:tab/>
        <w:tab/>
        <w:tab/>
        <w:tab/>
        <w:tab/>
        <w:tab/>
        <w:tab/>
        <w:tab/>
        <w:tab/>
        <w:tab/>
        <w:t>№ 262</w:t>
      </w:r>
    </w:p>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tabs>
          <w:tab w:val="left" w:pos="142"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 на территории муниципального образования «город Шарыпово Красноярского края» на 2021 год</w:t>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napToGrid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установления размера платы за содержание жилого помещения, в размере, обеспечивающем содержание общего имущества в соответствии Постановлением Правительства РФ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на основании раздела 7 Жилищного кодекса Российской Федерации, руководствуясь ч.3 ст. 156, ч.4 ст.158 Жилищного кодекса Российской Федерации, ст.3, ст.34 Устава города Шарыпово,</w:t>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ПОСТАНОВЛЯЮ:</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1. </w:t>
      </w:r>
      <w:r>
        <w:rPr>
          <w:rFonts w:eastAsia="Times New Roman" w:cs="Times New Roman" w:ascii="Times New Roman" w:hAnsi="Times New Roman"/>
          <w:sz w:val="28"/>
          <w:szCs w:val="28"/>
          <w:lang w:eastAsia="ru-RU"/>
        </w:rPr>
        <w:t xml:space="preserve">Установить </w:t>
      </w:r>
      <w:r>
        <w:rPr>
          <w:rFonts w:eastAsia="Calibri" w:cs="Times New Roman" w:ascii="Times New Roman" w:hAnsi="Times New Roman"/>
          <w:sz w:val="28"/>
          <w:szCs w:val="28"/>
          <w:lang w:eastAsia="ru-RU"/>
        </w:rPr>
        <w:t>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w:t>
      </w:r>
      <w:r>
        <w:rPr>
          <w:rFonts w:eastAsia="Times New Roman" w:cs="Times New Roman" w:ascii="Times New Roman" w:hAnsi="Times New Roman"/>
          <w:sz w:val="28"/>
          <w:szCs w:val="28"/>
          <w:lang w:eastAsia="ru-RU"/>
        </w:rPr>
        <w:t>, согласно приложению, к настоящему постановлению.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themeColor="text1"/>
          <w:sz w:val="28"/>
          <w:szCs w:val="28"/>
          <w:lang w:eastAsia="ru-RU"/>
        </w:rPr>
        <w:t xml:space="preserve">2. </w:t>
      </w:r>
      <w:r>
        <w:rPr>
          <w:rFonts w:eastAsia="Times New Roman" w:cs="Times New Roman" w:ascii="Times New Roman" w:hAnsi="Times New Roman"/>
          <w:sz w:val="28"/>
          <w:szCs w:val="28"/>
          <w:lang w:eastAsia="ru-RU"/>
        </w:rPr>
        <w:t>Установить, что размер платы за содержание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многоквартирных домов, собственники помещений в которых приняли решение о выборе способа управления многоквартирным домом, принимается соответственно размеру платы за содержание жилого помещения, установленного собственниками помещений на основании решения общего собрания, проведенном в соответствии с действующим законодательством, за исключением платы за работы по капитальному ремонту общего имущества в многоквартирном доме.</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color w:val="000000" w:themeColor="text1"/>
          <w:sz w:val="28"/>
          <w:szCs w:val="28"/>
          <w:lang w:eastAsia="ru-RU"/>
        </w:rPr>
        <w:t>Контроль за исполнением настоящего постановления возложить на Первого заместителя Главы города Шарыпово Д.Е. Гудкова.</w:t>
      </w:r>
    </w:p>
    <w:p>
      <w:pPr>
        <w:pStyle w:val="Normal"/>
        <w:spacing w:lineRule="auto" w:line="240" w:before="0" w:after="0"/>
        <w:ind w:firstLine="709"/>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2021 года и подлежит размещению на официальном сайте муниципального образования города Шарыпово Красноярского края (</w:t>
      </w:r>
      <w:r>
        <w:rPr>
          <w:rFonts w:eastAsia="Times New Roman" w:cs="Times New Roman" w:ascii="Times New Roman" w:hAnsi="Times New Roman"/>
          <w:color w:val="000000" w:themeColor="text1"/>
          <w:sz w:val="28"/>
          <w:szCs w:val="28"/>
          <w:lang w:val="en-US" w:eastAsia="ru-RU"/>
        </w:rPr>
        <w:t>www</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gorodsharypovo</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ru</w:t>
      </w:r>
      <w:r>
        <w:rPr>
          <w:rFonts w:eastAsia="Times New Roman" w:cs="Times New Roman" w:ascii="Times New Roman" w:hAnsi="Times New Roman"/>
          <w:color w:val="000000" w:themeColor="text1"/>
          <w:sz w:val="28"/>
          <w:szCs w:val="28"/>
          <w:lang w:eastAsia="ru-RU"/>
        </w:rPr>
        <w:t>).</w:t>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Глава города Шарыпово</w:t>
        <w:tab/>
        <w:tab/>
        <w:tab/>
        <w:tab/>
        <w:tab/>
        <w:tab/>
        <w:t xml:space="preserve">    Н.А. Петровская</w:t>
      </w:r>
    </w:p>
    <w:tbl>
      <w:tblPr>
        <w:tblW w:w="14750" w:type="dxa"/>
        <w:jc w:val="left"/>
        <w:tblInd w:w="0" w:type="dxa"/>
        <w:tblBorders/>
        <w:tblCellMar>
          <w:top w:w="0" w:type="dxa"/>
          <w:left w:w="108" w:type="dxa"/>
          <w:bottom w:w="0" w:type="dxa"/>
          <w:right w:w="108" w:type="dxa"/>
        </w:tblCellMar>
        <w:tblLook w:noVBand="1" w:val="04a0" w:noHBand="0" w:lastColumn="0" w:firstColumn="1" w:lastRow="0" w:firstRow="1"/>
      </w:tblPr>
      <w:tblGrid>
        <w:gridCol w:w="541"/>
        <w:gridCol w:w="223"/>
        <w:gridCol w:w="222"/>
        <w:gridCol w:w="223"/>
        <w:gridCol w:w="2171"/>
        <w:gridCol w:w="2"/>
        <w:gridCol w:w="2571"/>
        <w:gridCol w:w="1"/>
        <w:gridCol w:w="655"/>
        <w:gridCol w:w="1"/>
        <w:gridCol w:w="1105"/>
        <w:gridCol w:w="2"/>
        <w:gridCol w:w="1559"/>
        <w:gridCol w:w="1"/>
        <w:gridCol w:w="990"/>
        <w:gridCol w:w="1"/>
        <w:gridCol w:w="838"/>
        <w:gridCol w:w="2"/>
        <w:gridCol w:w="764"/>
        <w:gridCol w:w="1"/>
        <w:gridCol w:w="755"/>
        <w:gridCol w:w="2"/>
        <w:gridCol w:w="1047"/>
        <w:gridCol w:w="2"/>
        <w:gridCol w:w="575"/>
        <w:gridCol w:w="1"/>
        <w:gridCol w:w="491"/>
      </w:tblGrid>
      <w:tr>
        <w:trPr>
          <w:trHeight w:val="80" w:hRule="atLeast"/>
        </w:trPr>
        <w:tc>
          <w:tcPr>
            <w:tcW w:w="541"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0" w:name="RANGE!A1%3AP28"/>
            <w:bookmarkStart w:id="1" w:name="RANGE!A1%3AP28"/>
            <w:bookmarkEnd w:id="1"/>
          </w:p>
        </w:tc>
        <w:tc>
          <w:tcPr>
            <w:tcW w:w="22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2"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7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72"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5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0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4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638" w:type="dxa"/>
            <w:gridSpan w:val="9"/>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Приложение к постановлению</w:t>
            </w:r>
          </w:p>
        </w:tc>
      </w:tr>
      <w:tr>
        <w:trPr>
          <w:trHeight w:val="80" w:hRule="atLeast"/>
        </w:trPr>
        <w:tc>
          <w:tcPr>
            <w:tcW w:w="541"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2"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7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72"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5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0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4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638" w:type="dxa"/>
            <w:gridSpan w:val="9"/>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Администрации города Шарыпово  </w:t>
            </w:r>
          </w:p>
        </w:tc>
      </w:tr>
      <w:tr>
        <w:trPr>
          <w:trHeight w:val="80" w:hRule="atLeast"/>
        </w:trPr>
        <w:tc>
          <w:tcPr>
            <w:tcW w:w="541"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2"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7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72"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5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0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4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638" w:type="dxa"/>
            <w:gridSpan w:val="9"/>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от </w:t>
            </w:r>
            <w:r>
              <w:rPr>
                <w:rFonts w:eastAsia="Times New Roman" w:cs="Times New Roman" w:ascii="Times New Roman" w:hAnsi="Times New Roman"/>
                <w:sz w:val="20"/>
                <w:szCs w:val="20"/>
                <w:u w:val="single"/>
                <w:lang w:eastAsia="ru-RU"/>
              </w:rPr>
              <w:t>19.11.2020</w:t>
            </w:r>
            <w:r>
              <w:rPr>
                <w:rFonts w:eastAsia="Times New Roman" w:cs="Times New Roman" w:ascii="Times New Roman" w:hAnsi="Times New Roman"/>
                <w:sz w:val="20"/>
                <w:szCs w:val="20"/>
                <w:lang w:eastAsia="ru-RU"/>
              </w:rPr>
              <w:t xml:space="preserve"> № </w:t>
            </w:r>
            <w:r>
              <w:rPr>
                <w:rFonts w:eastAsia="Times New Roman" w:cs="Times New Roman" w:ascii="Times New Roman" w:hAnsi="Times New Roman"/>
                <w:sz w:val="20"/>
                <w:szCs w:val="20"/>
                <w:u w:val="single"/>
                <w:lang w:eastAsia="ru-RU"/>
              </w:rPr>
              <w:t>262</w:t>
            </w:r>
          </w:p>
        </w:tc>
      </w:tr>
      <w:tr>
        <w:trPr>
          <w:trHeight w:val="80" w:hRule="exact"/>
        </w:trPr>
        <w:tc>
          <w:tcPr>
            <w:tcW w:w="541"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2"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7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72"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5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0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4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5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049"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76"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91"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674" w:hRule="atLeast"/>
        </w:trPr>
        <w:tc>
          <w:tcPr>
            <w:tcW w:w="14746" w:type="dxa"/>
            <w:gridSpan w:val="27"/>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решение об установлении размера платы за содержание жилого помещения </w:t>
            </w:r>
          </w:p>
        </w:tc>
      </w:tr>
      <w:tr>
        <w:trPr>
          <w:trHeight w:val="330" w:hRule="atLeast"/>
        </w:trPr>
        <w:tc>
          <w:tcPr>
            <w:tcW w:w="14746" w:type="dxa"/>
            <w:gridSpan w:val="27"/>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с 01.01.2021г. по 31.12.2021г.</w:t>
            </w:r>
          </w:p>
        </w:tc>
      </w:tr>
      <w:tr>
        <w:trPr>
          <w:trHeight w:val="225" w:hRule="atLeast"/>
        </w:trPr>
        <w:tc>
          <w:tcPr>
            <w:tcW w:w="14746" w:type="dxa"/>
            <w:gridSpan w:val="27"/>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(за м2 общей площади в месяц)</w:t>
            </w:r>
          </w:p>
        </w:tc>
      </w:tr>
      <w:tr>
        <w:trPr>
          <w:trHeight w:val="80" w:hRule="exact"/>
        </w:trPr>
        <w:tc>
          <w:tcPr>
            <w:tcW w:w="541" w:type="dxa"/>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c>
          <w:tcPr>
            <w:tcW w:w="223"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2"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3"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7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72"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5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10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56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91"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40"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65"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57"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049"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76" w:type="dxa"/>
            <w:gridSpan w:val="2"/>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91" w:type="dxa"/>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010" w:hRule="atLeast"/>
        </w:trPr>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п./п</w:t>
            </w:r>
          </w:p>
        </w:tc>
        <w:tc>
          <w:tcPr>
            <w:tcW w:w="2839"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Тип многоквартирного дома, исходя из конструктивных и технических характеристик, степени благоустройства</w:t>
            </w:r>
          </w:p>
        </w:tc>
        <w:tc>
          <w:tcPr>
            <w:tcW w:w="257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Адрес многоквартирного дома</w:t>
            </w:r>
          </w:p>
        </w:tc>
        <w:tc>
          <w:tcPr>
            <w:tcW w:w="65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Размер платы* для населения,руб./м2, в том числе по видам затрат:</w:t>
            </w:r>
          </w:p>
        </w:tc>
        <w:tc>
          <w:tcPr>
            <w:tcW w:w="3658"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Содержание общего имущества многоквартирного дома</w:t>
            </w:r>
          </w:p>
        </w:tc>
        <w:tc>
          <w:tcPr>
            <w:tcW w:w="3410" w:type="dxa"/>
            <w:gridSpan w:val="8"/>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Содержание общих коммуникаций, технических устройств и оборудования многоквартирного дома, при наличии соответствующего оборудования</w:t>
            </w:r>
          </w:p>
        </w:tc>
        <w:tc>
          <w:tcPr>
            <w:tcW w:w="57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Текущий ремонт общего имущества</w:t>
            </w:r>
          </w:p>
        </w:tc>
        <w:tc>
          <w:tcPr>
            <w:tcW w:w="49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Услуги и работы по управлению</w:t>
            </w:r>
          </w:p>
        </w:tc>
      </w:tr>
      <w:tr>
        <w:trPr>
          <w:trHeight w:val="3075" w:hRule="atLeast"/>
        </w:trPr>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839"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c>
          <w:tcPr>
            <w:tcW w:w="257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c>
          <w:tcPr>
            <w:tcW w:w="65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уборка и санитарно-гигиеническая очистка помещений общего пользования</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Уборка и санитарно-гигиеническая очистка, содержание и уход за элементами озеленения и благоустройства, придомовой территории</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проведение дезинфекции, дезинсекции, дератизации помещений общего пользования</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содержание конструктивных элементов </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содержание лифтового оборудования</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содержание внутридомового инженерного оборудования</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выполнение работ по устранению аварийных ситуаций (содержание ЦАДС)</w:t>
            </w:r>
          </w:p>
        </w:tc>
        <w:tc>
          <w:tcPr>
            <w:tcW w:w="57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c>
          <w:tcPr>
            <w:tcW w:w="49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r>
          </w:p>
        </w:tc>
      </w:tr>
      <w:tr>
        <w:trPr>
          <w:trHeight w:val="285"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7</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8</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9</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w:t>
            </w:r>
          </w:p>
        </w:tc>
      </w:tr>
      <w:tr>
        <w:trPr>
          <w:trHeight w:val="285" w:hRule="atLeast"/>
        </w:trPr>
        <w:tc>
          <w:tcPr>
            <w:tcW w:w="14746"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город Шарыпово</w:t>
            </w:r>
          </w:p>
        </w:tc>
      </w:tr>
      <w:tr>
        <w:trPr>
          <w:trHeight w:val="975"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9-ти этажном доме с лифтом и мусоропроводом</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 мкр. №№3, 5, 7</w:t>
              <w:br/>
              <w:t>2 мкр. №№ 3</w:t>
              <w:br/>
              <w:t>3 мкр. №№ 7, 8, 10, 11, 13, 14, 16, 17, 20, 26, 27</w:t>
              <w:br/>
              <w:t>5 мкр. №№1, 2</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23,53</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5,22</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1,66</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0,20</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0,99</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5,32</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1,49</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4,06</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3,35</w:t>
            </w:r>
          </w:p>
        </w:tc>
      </w:tr>
      <w:tr>
        <w:trPr>
          <w:trHeight w:val="855" w:hRule="atLeast"/>
        </w:trPr>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w:t>
            </w:r>
          </w:p>
        </w:tc>
        <w:tc>
          <w:tcPr>
            <w:tcW w:w="28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7- ми, 6-ти, 5-ти этажном доме с мусоропроводом</w:t>
            </w:r>
          </w:p>
        </w:tc>
        <w:tc>
          <w:tcPr>
            <w:tcW w:w="257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 мкр. №№5, 6, 7</w:t>
              <w:br/>
              <w:t>3 мкр. №№1, 2, 5, 6, 8а, 18, 19, 21, 22, 24, 25</w:t>
              <w:br/>
              <w:t>7 мкр. №№9, 10,12, 15</w:t>
            </w:r>
          </w:p>
        </w:tc>
        <w:tc>
          <w:tcPr>
            <w:tcW w:w="6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20,41</w:t>
            </w:r>
          </w:p>
        </w:tc>
        <w:tc>
          <w:tcPr>
            <w:tcW w:w="11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5,50</w:t>
            </w:r>
          </w:p>
        </w:tc>
        <w:tc>
          <w:tcPr>
            <w:tcW w:w="15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2,54</w:t>
            </w:r>
          </w:p>
        </w:tc>
        <w:tc>
          <w:tcPr>
            <w:tcW w:w="9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0,29</w:t>
            </w:r>
          </w:p>
        </w:tc>
        <w:tc>
          <w:tcPr>
            <w:tcW w:w="8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1,37</w:t>
            </w:r>
          </w:p>
        </w:tc>
        <w:tc>
          <w:tcPr>
            <w:tcW w:w="7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1,46</w:t>
            </w:r>
          </w:p>
        </w:tc>
        <w:tc>
          <w:tcPr>
            <w:tcW w:w="10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4,73</w:t>
            </w:r>
          </w:p>
        </w:tc>
        <w:tc>
          <w:tcPr>
            <w:tcW w:w="4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3,28</w:t>
            </w:r>
          </w:p>
        </w:tc>
      </w:tr>
      <w:tr>
        <w:trPr>
          <w:trHeight w:val="546" w:hRule="atLeast"/>
        </w:trPr>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5-ти этажном доме без мусоропровода</w:t>
            </w:r>
          </w:p>
        </w:tc>
        <w:tc>
          <w:tcPr>
            <w:tcW w:w="257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 мкр. №№1, 2, 9, 10, 18</w:t>
              <w:br/>
              <w:t>4 мкр. №№ 27</w:t>
              <w:br/>
              <w:t>Северный мкр. №№30</w:t>
            </w:r>
          </w:p>
        </w:tc>
        <w:tc>
          <w:tcPr>
            <w:tcW w:w="65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18,85</w:t>
            </w:r>
          </w:p>
        </w:tc>
        <w:tc>
          <w:tcPr>
            <w:tcW w:w="110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2,86</w:t>
            </w:r>
          </w:p>
        </w:tc>
        <w:tc>
          <w:tcPr>
            <w:tcW w:w="156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3,40</w:t>
            </w:r>
          </w:p>
        </w:tc>
        <w:tc>
          <w:tcPr>
            <w:tcW w:w="99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0,28</w:t>
            </w:r>
          </w:p>
        </w:tc>
        <w:tc>
          <w:tcPr>
            <w:tcW w:w="83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1,31</w:t>
            </w:r>
          </w:p>
        </w:tc>
        <w:tc>
          <w:tcPr>
            <w:tcW w:w="76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1,60</w:t>
            </w:r>
          </w:p>
        </w:tc>
        <w:tc>
          <w:tcPr>
            <w:tcW w:w="104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4,98</w:t>
            </w:r>
          </w:p>
        </w:tc>
        <w:tc>
          <w:tcPr>
            <w:tcW w:w="492"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3,18</w:t>
            </w:r>
          </w:p>
        </w:tc>
      </w:tr>
      <w:tr>
        <w:trPr>
          <w:trHeight w:val="54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3-х, 2-х этажном доме с полным благоустройством</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Горького д. №№ 50, 51, 53, 57а, 59, 59а, 61, 63, 65, 65а.</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14,63</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0,04</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0,58</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2,25</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1,55</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6,27</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2,70</w:t>
            </w:r>
          </w:p>
        </w:tc>
      </w:tr>
      <w:tr>
        <w:trPr>
          <w:trHeight w:val="69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2-х этажном одноподъездном доме с полным благоустройством</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 мкр. д. № 23.</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22,12</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2,66</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3,42</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0,98</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2,05</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2,21</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5,85</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3,71</w:t>
            </w:r>
          </w:p>
        </w:tc>
      </w:tr>
      <w:tr>
        <w:trPr>
          <w:trHeight w:val="72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6</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с измененным статусом общежития на статус жилого дома с мусоропроводом</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Северный мкр. д. №№ 3, 4, 5;                                                            Пионерный мкр. д. №№ 30, 31</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23,17</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8,64</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2,17</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0,44</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1,43</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1,96</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4,85</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2,44</w:t>
            </w:r>
          </w:p>
        </w:tc>
      </w:tr>
      <w:tr>
        <w:trPr>
          <w:trHeight w:val="69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7</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с измененным статусом общежития коридорного типа на статус жилого дома с мусоропроводом</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Северный мкр. д. №№ 32;                                                                         Пионерный мкр. д. №№ 3-1, 23, 27, 42.</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50,42</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24,31</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2,83</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0,47</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1,55</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2,30</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13,69</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4,03</w:t>
            </w:r>
          </w:p>
        </w:tc>
      </w:tr>
      <w:tr>
        <w:trPr>
          <w:trHeight w:val="285" w:hRule="atLeast"/>
        </w:trPr>
        <w:tc>
          <w:tcPr>
            <w:tcW w:w="14746" w:type="dxa"/>
            <w:gridSpan w:val="2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рабочий поселок Дубинино</w:t>
            </w:r>
          </w:p>
        </w:tc>
      </w:tr>
      <w:tr>
        <w:trPr>
          <w:trHeight w:val="1094"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8</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5-ти этажном доме без мусоропровода</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Комсомольская №№ 20, 26а, 30, 32, 34</w:t>
              <w:br/>
              <w:t>ул. Дружбы №№ 7</w:t>
              <w:br/>
              <w:t>ул. 9 мая  №№15, 17</w:t>
              <w:br/>
              <w:t>ул. Пионеров КАТЭКа №№19, 33, 35, 37, 51, 51а</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18,81</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2,50</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2,38</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0,34</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1,63</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1,45</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5,71</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3,56</w:t>
            </w:r>
          </w:p>
        </w:tc>
      </w:tr>
      <w:tr>
        <w:trPr>
          <w:trHeight w:val="827"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9</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4-х этажном доме без мусоропровода</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Кишиневска</w:t>
            </w:r>
            <w:bookmarkStart w:id="2" w:name="_GoBack"/>
            <w:bookmarkEnd w:id="2"/>
            <w:r>
              <w:rPr>
                <w:rFonts w:eastAsia="Times New Roman" w:cs="Times New Roman" w:ascii="Times New Roman" w:hAnsi="Times New Roman"/>
                <w:sz w:val="16"/>
                <w:szCs w:val="16"/>
                <w:lang w:eastAsia="ru-RU"/>
              </w:rPr>
              <w:t>я №№1</w:t>
              <w:br/>
              <w:t>ул. 9 мая №№ 4</w:t>
              <w:br/>
              <w:t>ул. Молодогвардейцев №№2</w:t>
              <w:br/>
              <w:t>ул. 19 Съезда ВЛКСМ №№18</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18,34</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2,07</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2,10</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0,34</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1,72</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1,79</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6,06</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3,02</w:t>
            </w:r>
          </w:p>
        </w:tc>
      </w:tr>
      <w:tr>
        <w:trPr>
          <w:trHeight w:val="36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10</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3-х этажном доме</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Комсомольская №№6</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18,45</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2,20</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2,84</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0,56</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1,31</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1,37</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4,95</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3,98</w:t>
            </w:r>
          </w:p>
        </w:tc>
      </w:tr>
      <w:tr>
        <w:trPr>
          <w:trHeight w:val="365"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11</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3-х этажном одноподъездном  доме</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Кишиневская №№ 5</w:t>
              <w:br/>
              <w:t>ул. Пионеров КАТЭКа №№ 11</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21,75</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3,43</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3,77</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0,34</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1,31</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2,23</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5,52</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3,91</w:t>
            </w:r>
          </w:p>
        </w:tc>
      </w:tr>
      <w:tr>
        <w:trPr>
          <w:trHeight w:val="601"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2-х этажном доме</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пер. Молодежный №№ 1 (1 подъезд)</w:t>
              <w:br/>
              <w:t>ул. 19 Съезда ВЛКСМ №№ 9</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17,08</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2,60</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1,01</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2,21</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1,42</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5,56</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3,04</w:t>
            </w:r>
          </w:p>
        </w:tc>
      </w:tr>
      <w:tr>
        <w:trPr>
          <w:trHeight w:val="525"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13</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в 2-х этажном доме</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пер. Молодежный №№1 (2-3 подъезд)</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173,74</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142,77</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2,20</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3,56</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5,07</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4,97</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9,28</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4,65</w:t>
            </w:r>
          </w:p>
        </w:tc>
      </w:tr>
      <w:tr>
        <w:trPr>
          <w:trHeight w:val="690"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14</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с измененным статусом общежития на статус жилого дома без мусоропровода</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Шахтерская № № 6</w:t>
              <w:br/>
              <w:t>ул. 19 Съезда ВЛКСМ № № 10</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22,33</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4,84</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1,67</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0,36</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1,65</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2,71</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7,13</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2,73</w:t>
            </w:r>
          </w:p>
        </w:tc>
      </w:tr>
      <w:tr>
        <w:trPr>
          <w:trHeight w:val="735" w:hRule="atLeast"/>
        </w:trPr>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15</w:t>
            </w:r>
          </w:p>
        </w:tc>
        <w:tc>
          <w:tcPr>
            <w:tcW w:w="2839"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Жилое помещение с измененным статусом общежития коридорного типа на статус жилого дома</w:t>
            </w:r>
          </w:p>
        </w:tc>
        <w:tc>
          <w:tcPr>
            <w:tcW w:w="257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ул. Пионеров КАТЭКа д. № 19.</w:t>
            </w:r>
          </w:p>
        </w:tc>
        <w:tc>
          <w:tcPr>
            <w:tcW w:w="6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55,68</w:t>
            </w:r>
          </w:p>
        </w:tc>
        <w:tc>
          <w:tcPr>
            <w:tcW w:w="110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19,88</w:t>
            </w:r>
          </w:p>
        </w:tc>
        <w:tc>
          <w:tcPr>
            <w:tcW w:w="156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2,38</w:t>
            </w:r>
          </w:p>
        </w:tc>
        <w:tc>
          <w:tcPr>
            <w:tcW w:w="99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0,36</w:t>
            </w:r>
          </w:p>
        </w:tc>
        <w:tc>
          <w:tcPr>
            <w:tcW w:w="83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1,86</w:t>
            </w:r>
          </w:p>
        </w:tc>
        <w:tc>
          <w:tcPr>
            <w:tcW w:w="76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0,00</w:t>
            </w:r>
          </w:p>
        </w:tc>
        <w:tc>
          <w:tcPr>
            <w:tcW w:w="756"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1,83</w:t>
            </w:r>
          </w:p>
        </w:tc>
        <w:tc>
          <w:tcPr>
            <w:tcW w:w="1049"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1,24</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24,81</w:t>
            </w:r>
          </w:p>
        </w:tc>
        <w:tc>
          <w:tcPr>
            <w:tcW w:w="492"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3,32</w:t>
            </w:r>
          </w:p>
        </w:tc>
      </w:tr>
    </w:tbl>
    <w:p>
      <w:pPr>
        <w:pStyle w:val="Normal"/>
        <w:spacing w:lineRule="auto" w:line="240" w:before="0" w:after="0"/>
        <w:rPr/>
      </w:pPr>
      <w:r>
        <w:rPr/>
      </w:r>
    </w:p>
    <w:sectPr>
      <w:type w:val="nextPage"/>
      <w:pgSz w:orient="landscape" w:w="16838" w:h="11906"/>
      <w:pgMar w:left="1134" w:right="1134" w:header="0" w:top="170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85fb8"/>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385fb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Application>LibreOffice/6.0.7.3$Linux_X86_64 LibreOffice_project/00m0$Build-3</Application>
  <Pages>5</Pages>
  <Words>1063</Words>
  <Characters>6026</Characters>
  <CharactersWithSpaces>7005</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2019-02-21T01:15:00Z</dcterms:created>
  <dc:creator>Елена</dc:creator>
  <dc:description/>
  <dc:language>ru-RU</dc:language>
  <cp:lastModifiedBy/>
  <cp:lastPrinted>2019-11-22T06:35:00Z</cp:lastPrinted>
  <dcterms:modified xsi:type="dcterms:W3CDTF">2020-11-24T15:43:38Z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