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>
      <w:pPr>
        <w:pStyle w:val="NoSpacing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05.11.2020                                                                                                        № 242 </w:t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Правил </w:t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персонифицированного финансирования </w:t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детей в </w:t>
      </w:r>
    </w:p>
    <w:p>
      <w:pPr>
        <w:pStyle w:val="NoSpacing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муниципальном образовании городе </w:t>
      </w:r>
    </w:p>
    <w:p>
      <w:pPr>
        <w:pStyle w:val="NoSpacing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Шарыпово Красноярского края</w:t>
      </w:r>
    </w:p>
    <w:p>
      <w:pPr>
        <w:pStyle w:val="NoSpacing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на основании Распоряжения Правительства Красноярского края от 18.09.2020 г. № 670-р «</w:t>
      </w:r>
      <w:r>
        <w:rPr>
          <w:sz w:val="28"/>
          <w:szCs w:val="28"/>
        </w:rPr>
        <w:t>О внедрении модели персонифицированного финансирования дополнительного образования детей в Красноярском крае</w:t>
      </w:r>
      <w:r>
        <w:rPr>
          <w:color w:val="000000"/>
          <w:sz w:val="28"/>
          <w:szCs w:val="28"/>
        </w:rPr>
        <w:t>», Приказа министерства образования Красноярского края от 23.09.2020 г. № 434-11-05 «Об утверждении Правил персонифицированного финансирования дополнительного образования детей в Красноярском крае», руководствуясь статьей 34 Устава города Шарыпово,</w:t>
      </w:r>
    </w:p>
    <w:p>
      <w:pPr>
        <w:pStyle w:val="NoSpacing"/>
        <w:jc w:val="both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Обеспечить внедрение с 21 сентября 2020 года на территории муниципального образования города Шарыпово Красноярского края системы персонифицированного финансирования дополнительного образования детей. </w:t>
      </w:r>
    </w:p>
    <w:p>
      <w:pPr>
        <w:pStyle w:val="NoSpacing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Правила персонифицированного финансирования дополнительного образования детей в муниципальном образовании городе Шарыпово Красноярского края (далее – Правила) согласно приложению № 1.</w:t>
      </w:r>
    </w:p>
    <w:p>
      <w:pPr>
        <w:pStyle w:val="NoSpacing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согласно приложению № 2.</w:t>
      </w:r>
    </w:p>
    <w:p>
      <w:pPr>
        <w:pStyle w:val="NoSpacing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Управлению образованием Администрации города Шарыпово </w:t>
      </w:r>
      <w:r>
        <w:rPr>
          <w:color w:val="000000"/>
          <w:sz w:val="28"/>
          <w:szCs w:val="28"/>
        </w:rPr>
        <w:t>обеспечить внедрение модели персонифициров</w:t>
      </w:r>
      <w:bookmarkStart w:id="0" w:name="_GoBack"/>
      <w:bookmarkEnd w:id="0"/>
      <w:r>
        <w:rPr>
          <w:color w:val="000000"/>
          <w:sz w:val="28"/>
          <w:szCs w:val="28"/>
        </w:rPr>
        <w:t>анного финансирования в муниципальных организациях, реализующих дополнительные общеобразовательные программы.</w:t>
      </w:r>
    </w:p>
    <w:p>
      <w:pPr>
        <w:pStyle w:val="NoSpacing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Муниципальному опорному центру Муниципального бюджетного образовательного учреждения «Детско-юношеский центр» города Шарыпово обеспечить взаимодействие с оператором персонифицированного финансирования Красноярского края,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6.</w:t>
      </w:r>
      <w:r>
        <w:rPr>
          <w:sz w:val="28"/>
          <w:szCs w:val="28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7.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21 сентября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91"/>
            <w:sz w:val="28"/>
            <w:szCs w:val="28"/>
          </w:rPr>
          <w:t>www.gorodsharypovo</w:t>
        </w:r>
      </w:hyperlink>
      <w:r>
        <w:rPr>
          <w:sz w:val="28"/>
          <w:szCs w:val="28"/>
        </w:rPr>
        <w:t>.ru).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                                 </w:t>
      </w:r>
      <w:bookmarkStart w:id="1" w:name="Par27"/>
      <w:bookmarkEnd w:id="1"/>
      <w:r>
        <w:rPr>
          <w:sz w:val="28"/>
          <w:szCs w:val="28"/>
        </w:rPr>
        <w:t xml:space="preserve">                             Н.А. Петровская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>
      <w:pPr>
        <w:pStyle w:val="NoSpacing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города Шарыпово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от 05.11.2020 г. № 242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персонифицированного финансирования дополнительного образования детей в </w:t>
      </w:r>
      <w:r>
        <w:rPr>
          <w:b/>
          <w:color w:val="000000"/>
          <w:sz w:val="28"/>
          <w:szCs w:val="28"/>
        </w:rPr>
        <w:t>муниципальном образовании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персонифицированного финансирования дополнительного образования детей в </w:t>
      </w:r>
      <w:r>
        <w:rPr>
          <w:color w:val="000000"/>
          <w:sz w:val="28"/>
          <w:szCs w:val="28"/>
        </w:rPr>
        <w:t>муниципальном образовании городе Шарыпово Красноярского края</w:t>
      </w:r>
      <w:r>
        <w:rPr>
          <w:sz w:val="28"/>
          <w:szCs w:val="28"/>
        </w:rPr>
        <w:t xml:space="preserve"> (далее – Правила) регулируют функционирование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в </w:t>
      </w:r>
      <w:r>
        <w:rPr>
          <w:color w:val="000000"/>
          <w:sz w:val="28"/>
          <w:szCs w:val="28"/>
        </w:rPr>
        <w:t>муниципальном образовании городе Шарыпово Красноярского края</w:t>
      </w:r>
      <w:r>
        <w:rPr>
          <w:sz w:val="28"/>
          <w:szCs w:val="28"/>
        </w:rPr>
        <w:t xml:space="preserve"> с целью реализации </w:t>
      </w:r>
      <w:r>
        <w:rPr>
          <w:color w:val="000000"/>
          <w:sz w:val="28"/>
          <w:szCs w:val="28"/>
        </w:rPr>
        <w:t>Распоряжения Правительства Красноярского края 18.09.2020 г. № 670-р «</w:t>
      </w:r>
      <w:r>
        <w:rPr>
          <w:sz w:val="28"/>
          <w:szCs w:val="28"/>
        </w:rPr>
        <w:t>О внедрении модели персонифицированного финансирования дополнительного образования детей в Красноярском крае</w:t>
      </w:r>
      <w:r>
        <w:rPr>
          <w:color w:val="000000"/>
          <w:sz w:val="28"/>
          <w:szCs w:val="28"/>
        </w:rPr>
        <w:t xml:space="preserve">», Приказа министерства образования Красноярского края от 23.09.2020 г. № 434-11-05 «Об утверждении Правил персонифицированного финансирования дополнительного образования детей в Красноярском крае» (далее – региональные Правила). </w:t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Красноярского края на территории </w:t>
      </w:r>
      <w:r>
        <w:rPr>
          <w:color w:val="000000"/>
          <w:sz w:val="28"/>
          <w:szCs w:val="28"/>
        </w:rPr>
        <w:t>муниципального образования города Шарыпово</w:t>
      </w:r>
      <w:r>
        <w:rPr>
          <w:sz w:val="28"/>
          <w:szCs w:val="28"/>
        </w:rPr>
        <w:t xml:space="preserve">, для оплаты образовательных услуг дополнительного образования детей по дополнительным общеобразовательным программам, реализуемым исполнителями образовательных услуг для обучающихся, проживающих на территории </w:t>
      </w:r>
      <w:r>
        <w:rPr>
          <w:color w:val="000000"/>
          <w:sz w:val="28"/>
          <w:szCs w:val="28"/>
        </w:rPr>
        <w:t>муниципального образования города Шарыпово</w:t>
      </w:r>
      <w:r>
        <w:rPr>
          <w:sz w:val="28"/>
          <w:szCs w:val="28"/>
        </w:rPr>
        <w:t xml:space="preserve">. Настоящие Правила используют понятия, предусмотренные региональными Правилами. </w:t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персонифицированного финансирования в </w:t>
      </w:r>
      <w:r>
        <w:rPr>
          <w:color w:val="000000"/>
          <w:sz w:val="28"/>
          <w:szCs w:val="28"/>
        </w:rPr>
        <w:t>муниципальном образовании городе Шарыпово</w:t>
      </w:r>
      <w:r>
        <w:rPr>
          <w:sz w:val="28"/>
          <w:szCs w:val="28"/>
        </w:rPr>
        <w:t xml:space="preserve">, обеспечивается за счет средств бюджета городского округа города Шарыпово. </w:t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образованием Администрации </w:t>
      </w:r>
      <w:r>
        <w:rPr>
          <w:sz w:val="28"/>
          <w:szCs w:val="28"/>
        </w:rPr>
        <w:t>города Шарыпово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с учетом возрастных категорий детей, имеющих потребность в получении дополнительного образования, направленности общеобразовательных программ дополнительного образования, утверждает программу персонифицированного финансирования, в которой устанавливает номиналы сертификатов, число действующих сертификатов дополнительного образования, в том числе в разрезе отдельных категорий детей, </w:t>
      </w:r>
      <w:r>
        <w:rPr>
          <w:rStyle w:val="2"/>
          <w:rFonts w:eastAsia="Calibri" w:eastAsiaTheme="minorHAnsi"/>
          <w:sz w:val="28"/>
          <w:szCs w:val="28"/>
        </w:rPr>
        <w:t>объем обеспечения сертификатов</w:t>
      </w:r>
      <w:r>
        <w:rPr>
          <w:sz w:val="28"/>
          <w:szCs w:val="28"/>
        </w:rPr>
        <w:t xml:space="preserve"> и предоставляет данные сведения оператору персонифицированного финансирования Красноярского края для фиксации в информационной системе. </w:t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вопросам, специально не урегулированным в настоящих Правилах, органы местного самоуправления </w:t>
      </w:r>
      <w:r>
        <w:rPr>
          <w:color w:val="000000"/>
          <w:sz w:val="28"/>
          <w:szCs w:val="28"/>
        </w:rPr>
        <w:t xml:space="preserve">муниципального образования города Шарыпово </w:t>
      </w:r>
      <w:r>
        <w:rPr>
          <w:sz w:val="28"/>
          <w:szCs w:val="28"/>
        </w:rPr>
        <w:t xml:space="preserve">руководствуются региональными Правилами. </w:t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муниципальных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осуществляется за счет средств бюджета городского округа города Шарыпово 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финансового обеспечения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нормативных затрат, установленных Управлением образованием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Шарыпово в соответствии с разделом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региональных Правил,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 финансирования.</w:t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в части образовательных услуг, оказываемых муниципальными образовательными организациями в рамках системы персонифицированного финансирования, соглашение о порядке и условиях предоставления субсидии на финансовое обеспечение выполнения муниципального задания, корректируются в течение календарного года, на основании данных о фактическом (прогнозном) объеме реализации образовательных услуг в порядке, установленном нормативно-правовыми актами Администрации города Шарыпово. </w:t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органами местного самоуправления </w:t>
      </w:r>
      <w:r>
        <w:rPr>
          <w:color w:val="000000"/>
          <w:sz w:val="28"/>
          <w:szCs w:val="28"/>
        </w:rPr>
        <w:t xml:space="preserve">муниципального образования города Шарыпово </w:t>
      </w:r>
      <w:r>
        <w:rPr>
          <w:sz w:val="28"/>
          <w:szCs w:val="28"/>
        </w:rPr>
        <w:t xml:space="preserve">не осуществляются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средств бюджета городского округа города Шарыпово посредством предоставления иным организациям грантов в форме субсидии в соответствии с положениями пункта 7 статьи 78 и пункта 4 статьи 78.1 Бюджетного кодекса РФ в связи с оказанием услуг по реализации дополнительных общеобразовательных программ в рамках системы персонифицированного финансирования в порядке, установленном органами местного самоуправления </w:t>
      </w:r>
      <w:r>
        <w:rPr>
          <w:color w:val="000000"/>
          <w:sz w:val="28"/>
          <w:szCs w:val="28"/>
        </w:rPr>
        <w:t>муниципального образования города Шарыпово</w:t>
      </w:r>
      <w:r>
        <w:rPr>
          <w:sz w:val="28"/>
          <w:szCs w:val="28"/>
        </w:rPr>
        <w:t>.</w:t>
      </w:r>
    </w:p>
    <w:p>
      <w:pPr>
        <w:pStyle w:val="NoSpacing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финансового обеспечения образовательных услуг, оказываемых иными организациями в рамках системы персонифицированного финансирования, определяется как размер нормативных затрат, установленных Управлением образованием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Шарыпово в соответствии с разделом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региональных Правил,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>
      <w:pPr>
        <w:pStyle w:val="NoSpacing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города Шарыпово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от 05.11.2020 г. № 242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города Шарыпово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I. Общие положения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города Шарыпово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Управлением образованием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Шарыпово,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</w:p>
    <w:p>
      <w:pPr>
        <w:pStyle w:val="NoSpacing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детей.</w:t>
      </w:r>
    </w:p>
    <w:p>
      <w:pPr>
        <w:pStyle w:val="NoSpacing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используемые в настоящем порядке:</w:t>
      </w:r>
    </w:p>
    <w:p>
      <w:pPr>
        <w:pStyle w:val="NoSpacing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>
      <w:pPr>
        <w:pStyle w:val="NoSpacing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>
      <w:pPr>
        <w:pStyle w:val="NoSpacing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– частная образовательная организация, организация, осуществляющая обучение, индивидуальный предприниматель, государственная образовательная организация, муниципальная образовательная организация, в отношении которой органами местного самоуправления муниципального образования города Шарыпово не осуществляются функции и полномочия учредителя, включенная в реестр поставщиков образовательных услуг в рамках системы персонифицированного финансирования;</w:t>
      </w:r>
    </w:p>
    <w:p>
      <w:pPr>
        <w:pStyle w:val="NoSpacing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гранты в форме субсидии − средства, предоставляемые исполнителям услуг Управлением образованием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Шарыпово на безвозмездной и безвозвратной основе в связи с оказанием образовательных услуг в рамках системы персонифицированного финансирования;</w:t>
      </w:r>
    </w:p>
    <w:p>
      <w:pPr>
        <w:pStyle w:val="NoSpacing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>
      <w:pPr>
        <w:pStyle w:val="NoSpacing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– Управление образованием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Шарыпово,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период;</w:t>
      </w:r>
    </w:p>
    <w:p>
      <w:pPr>
        <w:pStyle w:val="NoSpacing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региональные Правила – Правила персонифицированного финансирования дополнительного образования детей в Красноярском крае, утвержденные Приказом министерства образования Красноярского края от 23.09.2020 г. № 434-11-05 «Об утверждении Правил персонифицированного финансирования дополнительного образования детей в Красноярском крае».</w:t>
      </w:r>
    </w:p>
    <w:p>
      <w:pPr>
        <w:pStyle w:val="NoSpacing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>
      <w:pPr>
        <w:pStyle w:val="NoSpacing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осуществляет предоставление грантов в форме субсидии из бюджета городского округа города Шарыпово в соответствии с решением Шарыповского городского совета депутатов о бюджете городского округа города Шарыпово на текущий финансовый год и плановый период в пределах утвержденных лимитов бюджетных обязательств в рамках муниципальной программы «Развитие образования» муниципального образования города Шарыпово».</w:t>
      </w:r>
    </w:p>
    <w:p>
      <w:pPr>
        <w:pStyle w:val="NoSpacing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предоставляются в рамках мероприятия «Обеспечение внедрения персонифицированного финансирования» муниципальной программы «Развитие образования» муниципального образования города Шарыпово». Действие настоящего порядка не распространяется на осуществление финансовой (грантовой) поддержки в рамках иных муниципальных программ (подпрограмм) муниципального образования города Шарыпово.</w:t>
      </w:r>
    </w:p>
    <w:p>
      <w:pPr>
        <w:pStyle w:val="NoSpacing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Spacing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II. Порядок проведения отбора исполнителей услуг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обеспечивается ведением реестра поставщиков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>
      <w:pPr>
        <w:pStyle w:val="NoSpacing"/>
        <w:jc w:val="both"/>
        <w:rPr>
          <w:sz w:val="28"/>
          <w:szCs w:val="28"/>
        </w:rPr>
      </w:pPr>
      <w:bookmarkStart w:id="2" w:name="_Ref30949936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7. Исполнитель услуг вправе участвовать в отборе исполнителей услуг потребителями услуг при одновременном соблюдении следующих условий:</w:t>
      </w:r>
      <w:bookmarkEnd w:id="2"/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исполнитель услуг включен в реестр поставщиков образовательных услуг;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образовательная услуга включена в реестр сертифицированных программ;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заключение исполнителем услуг рамочного соглашения с уполномоченным органом в соответствии с пунктом 11 настоящего порядка;</w:t>
      </w:r>
    </w:p>
    <w:p>
      <w:pPr>
        <w:pStyle w:val="NoSpacing"/>
        <w:ind w:firstLine="708"/>
        <w:jc w:val="both"/>
        <w:rPr/>
      </w:pPr>
      <w:r>
        <w:rPr>
          <w:sz w:val="28"/>
          <w:szCs w:val="28"/>
        </w:rPr>
        <w:t>4)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3">
        <w:r>
          <w:rPr>
            <w:rStyle w:val="ListLabel91"/>
            <w:sz w:val="28"/>
            <w:szCs w:val="28"/>
          </w:rPr>
          <w:t>перечень</w:t>
        </w:r>
      </w:hyperlink>
      <w:r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участник отбора не получает в текущем финансовом году средства из бюджета городского округа города Шарыпово в соответствии с иными правовыми актами на цели, установленные настоящим порядком;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у участника отбора на начало финансового года отсутствует просроченная задолженность по возврату в бюджет городского округа города Шарыпово субсидий, бюджетных инвестиций, предоставленных в том числе в соответствии с иными правовыми актами;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заявление о заключении с уполномоченным органом рамочного соглашения о предоставлении грантов в форме субсидий (далее – рамочное соглашение) по форме, утверждаемой финансовым органом муниципального образования.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Уполномоченный орган рассматривает заявление исполнителя услуг и в течение 5-ти рабочих дней с момента направления исполнителем услуг заявления принимает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подписанное рамочное соглашение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уполномоченному органу.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заключении рамочного соглашения с исполнителем услуг принимается уполномоченным органом в следующих случаях: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несоблюдения исполнителем услуг условий, установленных пунктом </w:t>
      </w:r>
      <w:r>
        <w:rPr/>
        <w:t>7</w:t>
      </w:r>
      <w:r>
        <w:rPr>
          <w:sz w:val="28"/>
          <w:szCs w:val="28"/>
        </w:rPr>
        <w:t xml:space="preserve"> настоящего порядка;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Рамочное соглашение с исполнителем услуг должно содержать следующие положения:</w:t>
      </w:r>
    </w:p>
    <w:p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 и уполномоченного органа;</w:t>
      </w:r>
    </w:p>
    <w:p>
      <w:pPr>
        <w:pStyle w:val="NoSpacing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обязательство исполнителя услуг о приеме на обучение по образовательной программе (части образовательной программы) определенного числа обучающихся; </w:t>
      </w:r>
    </w:p>
    <w:p>
      <w:pPr>
        <w:pStyle w:val="NoSpacing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>
      <w:pPr>
        <w:pStyle w:val="NoSpacing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осуществляется потребителями услуг путем выбора образовательной услуги и/или отдельной части образовательной услуги в порядке, установленном региональными Правилами.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II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Условия и порядок предоставления грантов</w:t>
      </w:r>
    </w:p>
    <w:p>
      <w:pPr>
        <w:pStyle w:val="NoSpacing"/>
        <w:jc w:val="both"/>
        <w:rPr/>
      </w:pPr>
      <w:r>
        <w:rPr/>
      </w:r>
      <w:bookmarkStart w:id="3" w:name="_Ref25498205"/>
      <w:bookmarkStart w:id="4" w:name="_Ref25498205"/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bookmarkStart w:id="5" w:name="_Ref25498205"/>
      <w:r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бюджета городского округа города Шарыпово,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5"/>
    </w:p>
    <w:p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Реестр договоров на авансирование содержит следующие сведения:</w:t>
      </w:r>
    </w:p>
    <w:p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услуг;</w:t>
      </w:r>
    </w:p>
    <w:p>
      <w:pPr>
        <w:pStyle w:val="NoSpacing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месяц, на который предполагается авансирование;</w:t>
      </w:r>
    </w:p>
    <w:p>
      <w:pPr>
        <w:pStyle w:val="NoSpacing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реквизиты (даты и номера заключения) договоров об образовании;</w:t>
      </w:r>
    </w:p>
    <w:p>
      <w:pPr>
        <w:pStyle w:val="NoSpacing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bookmarkStart w:id="6" w:name="_Ref8587839"/>
      <w:r>
        <w:rPr>
          <w:sz w:val="28"/>
          <w:szCs w:val="28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6"/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bookmarkStart w:id="7" w:name="_Ref8587840"/>
      <w:r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бюджета городского округа города Шарыпово,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7"/>
      <w:r>
        <w:rPr>
          <w:sz w:val="28"/>
          <w:szCs w:val="28"/>
        </w:rPr>
        <w:t xml:space="preserve"> </w:t>
      </w:r>
    </w:p>
    <w:p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Реестр договоров на оплату должен содержать следующие сведения:</w:t>
      </w:r>
    </w:p>
    <w:p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услуг;</w:t>
      </w:r>
    </w:p>
    <w:p>
      <w:pPr>
        <w:pStyle w:val="NoSpacing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месяц, за который сформирован реестр;</w:t>
      </w:r>
    </w:p>
    <w:p>
      <w:pPr>
        <w:pStyle w:val="NoSpacing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реквизиты (даты и номера заключения) договоров об образовании;</w:t>
      </w:r>
    </w:p>
    <w:p>
      <w:pPr>
        <w:pStyle w:val="NoSpacing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>
      <w:pPr>
        <w:pStyle w:val="NoSpacing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/>
      </w:pPr>
      <w:bookmarkStart w:id="8" w:name="_Ref25498208"/>
      <w:r>
        <w:rPr>
          <w:sz w:val="28"/>
          <w:szCs w:val="28"/>
        </w:rPr>
        <w:t xml:space="preserve">Выполнение действий, предусмотренных пунктом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 REF _Ref8587840 \r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8"/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5 рабочих дней с момента получения заявки на авансирование средств из бюджета городского округа города Шарыпово (заявки на перечисление средств из бюджета городского округа города Шарыпово)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 и уполномоченного органа;</w:t>
      </w:r>
    </w:p>
    <w:p>
      <w:pPr>
        <w:pStyle w:val="NoSpacing"/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>
      <w:pPr>
        <w:pStyle w:val="NoSpacing"/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уполномоченного органа о перечислении средств бюджета городского округа города Шарыпово исполнителю услуг;</w:t>
      </w:r>
    </w:p>
    <w:p>
      <w:pPr>
        <w:pStyle w:val="NoSpacing"/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>
      <w:pPr>
        <w:pStyle w:val="NoSpacing"/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перечисления гранта в форме субсидии;</w:t>
      </w:r>
    </w:p>
    <w:p>
      <w:pPr>
        <w:pStyle w:val="NoSpacing"/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порядок, формы и сроки представления отчетов;</w:t>
      </w:r>
    </w:p>
    <w:p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сторон за нарушение условий соглашения.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Типовая форма соглашения о предоставлении исполнителю услуг гранта в форме субсидии устанавливается финансовым органом муниципального образования.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>
      <w:pPr>
        <w:pStyle w:val="NoSpacing"/>
        <w:numPr>
          <w:ilvl w:val="0"/>
          <w:numId w:val="10"/>
        </w:numPr>
        <w:ind w:left="0" w:firstLine="36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расчетные счета, открытые </w:t>
      </w:r>
      <w:r>
        <w:rPr>
          <w:sz w:val="28"/>
          <w:szCs w:val="28"/>
        </w:rPr>
        <w:t xml:space="preserve">исполнителям услуг – </w:t>
      </w:r>
      <w:r>
        <w:rPr>
          <w:rFonts w:eastAsia="Calibri"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>
        <w:rPr>
          <w:sz w:val="28"/>
          <w:szCs w:val="28"/>
        </w:rPr>
        <w:t xml:space="preserve"> (</w:t>
      </w:r>
      <w:r>
        <w:rPr>
          <w:rFonts w:eastAsia="Calibri"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>
        <w:rPr>
          <w:sz w:val="28"/>
          <w:szCs w:val="28"/>
        </w:rPr>
        <w:t>)</w:t>
      </w:r>
      <w:r>
        <w:rPr>
          <w:rFonts w:eastAsia="Calibri" w:eastAsiaTheme="minorHAnsi"/>
          <w:sz w:val="28"/>
          <w:szCs w:val="28"/>
          <w:lang w:eastAsia="en-US"/>
        </w:rPr>
        <w:t xml:space="preserve"> в российских кредитных организациях;</w:t>
      </w:r>
    </w:p>
    <w:p>
      <w:pPr>
        <w:pStyle w:val="NoSpacing"/>
        <w:numPr>
          <w:ilvl w:val="0"/>
          <w:numId w:val="10"/>
        </w:numPr>
        <w:ind w:left="0" w:firstLine="36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>
        <w:rPr>
          <w:rFonts w:eastAsia="Calibri" w:eastAsiaTheme="minorHAnsi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>
      <w:pPr>
        <w:pStyle w:val="NoSpacing"/>
        <w:numPr>
          <w:ilvl w:val="0"/>
          <w:numId w:val="10"/>
        </w:numPr>
        <w:ind w:left="0" w:firstLine="36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>
        <w:rPr>
          <w:rFonts w:eastAsia="Calibri" w:eastAsiaTheme="minorHAnsi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>
        <w:rPr>
          <w:sz w:val="28"/>
          <w:szCs w:val="28"/>
        </w:rPr>
        <w:t>.</w:t>
      </w:r>
    </w:p>
    <w:p>
      <w:pPr>
        <w:pStyle w:val="NoSpacing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Грант в форме субсидии не может быть использован на:</w:t>
      </w:r>
    </w:p>
    <w:p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капитальное строительство и инвестиции;</w:t>
      </w:r>
    </w:p>
    <w:p>
      <w:pPr>
        <w:pStyle w:val="NoSpacing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деятельность, запрещенную действующим законодательством.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 Управление образованием Администрации города Шарыпово, досрочно расторгает соглашение с последующим возвратом гранта в форме субсидии.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Требования к отчетности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бюджета городского округа города Шарыпово (заявках на перечисление средств из бюджета городского округа города Шарыпово).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представляет в уполномоченный орган отчет об оказанных образовательных услугах в рамках системы персонифицированного финансирования в порядке и сроки, установленные уполномоченным органом.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Форма отчета об оказанных образовательных услугах в рамках системы персонифицированного финансирования дополнительного образования детей утверждается уполномоченным органом.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V. Порядок осуществления контроля за соблюдением целей, условий и порядка предоставления грантов и ответственности за их несоблюдение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>
      <w:pPr>
        <w:pStyle w:val="NoSpacing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>
      <w:pPr>
        <w:pStyle w:val="NoSpacing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>
      <w:pPr>
        <w:pStyle w:val="NoSpacing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целей, условий и порядка предоставления гранта в форме субсидий.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V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Порядок возврата грантов в форме субсидии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подлежат возврату исполнителем услуг в бюджет городского округа города Шарыпово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полноту и достоверность представленной информации и документов несет ответственность исполнитель услуг.</w:t>
      </w:r>
    </w:p>
    <w:p>
      <w:pPr>
        <w:pStyle w:val="NoSpacing"/>
        <w:numPr>
          <w:ilvl w:val="0"/>
          <w:numId w:val="6"/>
        </w:numPr>
        <w:ind w:left="0" w:firstLine="360"/>
        <w:jc w:val="both"/>
        <w:rPr/>
      </w:pPr>
      <w:r>
        <w:rPr>
          <w:sz w:val="28"/>
          <w:szCs w:val="28"/>
        </w:rPr>
        <w:t xml:space="preserve">Возврат гранта в форме субсидии в бюджет городского округа города Шарыпово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  <w:r>
        <w:rPr>
          <w:color w:val="000000"/>
          <w:sz w:val="28"/>
          <w:szCs w:val="28"/>
        </w:rPr>
        <w:t>В случае неисполнения решения о возврате субсидии взыскание производится в судебном порядке в соответствии с законодательством Российской Федерации.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2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33e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basedOn w:val="DefaultParagraphFont"/>
    <w:link w:val="a3"/>
    <w:uiPriority w:val="34"/>
    <w:qFormat/>
    <w:locked/>
    <w:rsid w:val="004b5840"/>
    <w:rPr>
      <w:sz w:val="22"/>
      <w:szCs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c66a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8"/>
    <w:uiPriority w:val="99"/>
    <w:semiHidden/>
    <w:qFormat/>
    <w:rsid w:val="008c66a4"/>
    <w:rPr>
      <w:sz w:val="20"/>
      <w:szCs w:val="20"/>
    </w:rPr>
  </w:style>
  <w:style w:type="character" w:styleId="Style16" w:customStyle="1">
    <w:name w:val="Тема примечания Знак"/>
    <w:basedOn w:val="Style15"/>
    <w:link w:val="aa"/>
    <w:uiPriority w:val="99"/>
    <w:semiHidden/>
    <w:qFormat/>
    <w:rsid w:val="008c66a4"/>
    <w:rPr>
      <w:b/>
      <w:bCs/>
      <w:sz w:val="20"/>
      <w:szCs w:val="20"/>
    </w:rPr>
  </w:style>
  <w:style w:type="character" w:styleId="Style17" w:customStyle="1">
    <w:name w:val="Текст выноски Знак"/>
    <w:basedOn w:val="DefaultParagraphFont"/>
    <w:link w:val="ac"/>
    <w:uiPriority w:val="99"/>
    <w:semiHidden/>
    <w:qFormat/>
    <w:rsid w:val="008c66a4"/>
    <w:rPr>
      <w:rFonts w:ascii="Segoe UI" w:hAnsi="Segoe UI" w:cs="Segoe UI"/>
      <w:sz w:val="18"/>
      <w:szCs w:val="18"/>
    </w:rPr>
  </w:style>
  <w:style w:type="character" w:styleId="2" w:customStyle="1">
    <w:name w:val="Основной текст (2)"/>
    <w:basedOn w:val="DefaultParagraphFont"/>
    <w:qFormat/>
    <w:rsid w:val="006a1ca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Blk" w:customStyle="1">
    <w:name w:val="blk"/>
    <w:basedOn w:val="DefaultParagraphFont"/>
    <w:qFormat/>
    <w:rsid w:val="00a4436b"/>
    <w:rPr/>
  </w:style>
  <w:style w:type="character" w:styleId="Appleconvertedspace" w:customStyle="1">
    <w:name w:val="apple-converted-space"/>
    <w:basedOn w:val="DefaultParagraphFont"/>
    <w:qFormat/>
    <w:rsid w:val="00a4436b"/>
    <w:rPr/>
  </w:style>
  <w:style w:type="character" w:styleId="Style18">
    <w:name w:val="Интернет-ссылка"/>
    <w:basedOn w:val="DefaultParagraphFont"/>
    <w:uiPriority w:val="99"/>
    <w:semiHidden/>
    <w:unhideWhenUsed/>
    <w:rsid w:val="00a4436b"/>
    <w:rPr>
      <w:color w:val="0000FF"/>
      <w:u w:val="single"/>
    </w:rPr>
  </w:style>
  <w:style w:type="character" w:styleId="ListLabel1">
    <w:name w:val="ListLabel 1"/>
    <w:qFormat/>
    <w:rPr>
      <w:rFonts w:cs="Times New Roman"/>
      <w:sz w:val="28"/>
      <w:szCs w:val="28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11">
    <w:name w:val="ListLabel 11"/>
    <w:qFormat/>
    <w:rPr>
      <w:rFonts w:cs="Times New Roman"/>
      <w:b w:val="false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  <w:b w:val="false"/>
      <w:strike w:val="false"/>
      <w:dstrike w:val="false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39">
    <w:name w:val="ListLabel 3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0">
    <w:name w:val="ListLabel 4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1">
    <w:name w:val="ListLabel 4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2">
    <w:name w:val="ListLabel 4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3">
    <w:name w:val="ListLabel 4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4">
    <w:name w:val="ListLabel 4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5">
    <w:name w:val="ListLabel 4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6">
    <w:name w:val="ListLabel 4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7">
    <w:name w:val="ListLabel 4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8">
    <w:name w:val="ListLabel 4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49">
    <w:name w:val="ListLabel 4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0">
    <w:name w:val="ListLabel 5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1">
    <w:name w:val="ListLabel 5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2">
    <w:name w:val="ListLabel 5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3">
    <w:name w:val="ListLabel 5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4">
    <w:name w:val="ListLabel 5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5">
    <w:name w:val="ListLabel 5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6">
    <w:name w:val="ListLabel 56"/>
    <w:qFormat/>
    <w:rPr>
      <w:rFonts w:eastAsia="Times New Roman"/>
      <w:color w:val="000000"/>
    </w:rPr>
  </w:style>
  <w:style w:type="character" w:styleId="ListLabel57">
    <w:name w:val="ListLabel 5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8">
    <w:name w:val="ListLabel 5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59">
    <w:name w:val="ListLabel 5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60">
    <w:name w:val="ListLabel 6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61">
    <w:name w:val="ListLabel 6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62">
    <w:name w:val="ListLabel 6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63">
    <w:name w:val="ListLabel 6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64">
    <w:name w:val="ListLabel 6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65">
    <w:name w:val="ListLabel 6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</w:rPr>
  </w:style>
  <w:style w:type="character" w:styleId="ListLabel66">
    <w:name w:val="ListLabel 66"/>
    <w:qFormat/>
    <w:rPr>
      <w:rFonts w:cs="Times New Roman"/>
      <w:b w:val="false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eastAsia="Calibri" w:cs="Times New Roman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a4"/>
    <w:uiPriority w:val="34"/>
    <w:qFormat/>
    <w:rsid w:val="004b5840"/>
    <w:pPr>
      <w:spacing w:before="0" w:after="0"/>
      <w:ind w:left="720" w:hanging="0"/>
      <w:contextualSpacing/>
    </w:pPr>
    <w:rPr/>
  </w:style>
  <w:style w:type="paragraph" w:styleId="Style24" w:customStyle="1">
    <w:name w:val="Нормальный (таблица)"/>
    <w:basedOn w:val="Normal"/>
    <w:uiPriority w:val="99"/>
    <w:qFormat/>
    <w:rsid w:val="008c5e00"/>
    <w:pPr>
      <w:widowControl w:val="false"/>
      <w:jc w:val="both"/>
    </w:pPr>
    <w:rPr>
      <w:rFonts w:ascii="Arial" w:hAnsi="Arial" w:eastAsia="" w:cs="Arial" w:eastAsiaTheme="minorEastAsia"/>
    </w:rPr>
  </w:style>
  <w:style w:type="paragraph" w:styleId="Style25" w:customStyle="1">
    <w:name w:val="Прижатый влево"/>
    <w:basedOn w:val="Normal"/>
    <w:uiPriority w:val="99"/>
    <w:qFormat/>
    <w:rsid w:val="008572d0"/>
    <w:pPr>
      <w:widowControl w:val="false"/>
    </w:pPr>
    <w:rPr>
      <w:rFonts w:ascii="Arial" w:hAnsi="Arial" w:eastAsia="" w:cs="Arial" w:eastAsiaTheme="minorEastAsia"/>
    </w:rPr>
  </w:style>
  <w:style w:type="paragraph" w:styleId="Annotationtext">
    <w:name w:val="annotation text"/>
    <w:basedOn w:val="Normal"/>
    <w:link w:val="a9"/>
    <w:uiPriority w:val="99"/>
    <w:semiHidden/>
    <w:unhideWhenUsed/>
    <w:qFormat/>
    <w:rsid w:val="008c66a4"/>
    <w:pPr/>
    <w:rPr>
      <w:sz w:val="20"/>
      <w:szCs w:val="20"/>
    </w:rPr>
  </w:style>
  <w:style w:type="paragraph" w:styleId="Annotationsubject">
    <w:name w:val="annotation subject"/>
    <w:basedOn w:val="Annotationtext"/>
    <w:link w:val="ab"/>
    <w:uiPriority w:val="99"/>
    <w:semiHidden/>
    <w:unhideWhenUsed/>
    <w:qFormat/>
    <w:rsid w:val="008c66a4"/>
    <w:pPr/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c66a4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d34f5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qFormat/>
    <w:rsid w:val="00821e38"/>
    <w:pPr>
      <w:spacing w:beforeAutospacing="1" w:afterAutospacing="1"/>
    </w:pPr>
    <w:rPr/>
  </w:style>
  <w:style w:type="paragraph" w:styleId="NoSpacing">
    <w:name w:val="No Spacing"/>
    <w:uiPriority w:val="1"/>
    <w:qFormat/>
    <w:rsid w:val="00817e7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LibreOffice/6.0.7.3$Linux_X86_64 LibreOffice_project/00m0$Build-3</Application>
  <Pages>13</Pages>
  <Words>3308</Words>
  <Characters>26250</Characters>
  <CharactersWithSpaces>29669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2020-11-05T06:15:00Z</dcterms:created>
  <dc:creator>Kostin Alexander</dc:creator>
  <dc:description/>
  <dc:language>ru-RU</dc:language>
  <cp:lastModifiedBy/>
  <cp:lastPrinted>2020-11-05T06:15:00Z</cp:lastPrinted>
  <dcterms:modified xsi:type="dcterms:W3CDTF">2020-11-13T11:34:04Z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