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07.05.2020                                                                                    №  92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редакции  от 11.12.2019 № 271)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25.09.2019 №189, от 11.12.2019 №271) следующие изменения: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Таблицу 1 подпункта 2.3.1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1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7"/>
        <w:gridCol w:w="3544"/>
        <w:gridCol w:w="3403"/>
      </w:tblGrid>
      <w:tr>
        <w:trPr/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3 783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4 157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первого уровня»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9" w:type="dxa"/>
        <w:jc w:val="left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22"/>
        <w:gridCol w:w="3543"/>
        <w:gridCol w:w="3404"/>
      </w:tblGrid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(вахтер, сторож, уборщик служебных помещений, сторож, рабочий по комплексному обслуживанию зданий)     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2928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</w:t>
      </w:r>
    </w:p>
    <w:tbl>
      <w:tblPr>
        <w:tblW w:w="9497" w:type="dxa"/>
        <w:jc w:val="left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11"/>
        <w:gridCol w:w="4785"/>
      </w:tblGrid>
      <w:tr>
        <w:trPr/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 xml:space="preserve">Должности, не вошедшие в профессиональные   </w:t>
              <w:br/>
              <w:t>квалификационные группы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Минимальный размер оклада</w:t>
              <w:br/>
              <w:t>(должностного оклада), ставки заработной платы, руб.</w:t>
            </w:r>
          </w:p>
        </w:tc>
      </w:tr>
      <w:tr>
        <w:trPr/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 xml:space="preserve">Методист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4 567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Таблицу 2 подпункта 2.3.2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первого уровня»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17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3 409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учебно-вспомогательного персонала первого уровня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3 409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3 783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4 157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>
          <w:trHeight w:val="855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4 157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«Средний медицинский и фармацевтический персонал»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Медицинская сестра   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5 501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«Врачи и провизоры»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Врач   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7 559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физической культуры и спорта второго уровня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Тренер, инструктор-методист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9 040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1.3. Таблицу 3 подпункта 2.3.3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3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физической культуры и спорта второго уровня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9 040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первого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Делопроизводитель, специалист по безопасности дорожного движения, контролер технического состояния АТС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3 409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5 764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 по кадрам, ведущий юрисконсульт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6 027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четвертого уровня»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9 435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первого уровня»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2 928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второго уровня»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3 409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4 157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«Врачи и провизоры»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7 559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Должности, не включенные в ПКГ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4674"/>
        <w:gridCol w:w="4957"/>
      </w:tblGrid>
      <w:tr>
        <w:trPr>
          <w:trHeight w:val="360" w:hRule="atLeast"/>
          <w:cantSplit w:val="true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Специалист по охране труда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014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rPr/>
      </w:pPr>
      <w:r>
        <w:rPr/>
        <w:t xml:space="preserve">3.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июня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lang w:bidi="ru-RU"/>
          </w:rPr>
          <w:t>www.gorodsharypovo.ru</w:t>
        </w:r>
      </w:hyperlink>
      <w:r>
        <w:rPr>
          <w:lang w:bidi="ru-RU"/>
        </w:rPr>
        <w:t>).</w:t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bCs/>
        </w:rPr>
      </w:pPr>
      <w:r>
        <w:rPr>
          <w:bCs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Н.А.Петровская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suppressAutoHyphens w:val="fals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qFormat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lang w:bidi="ru-RU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6305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3c6f53"/>
    <w:pPr>
      <w:widowControl w:val="fals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ac"/>
    <w:uiPriority w:val="99"/>
    <w:rsid w:val="003c6f53"/>
    <w:pPr>
      <w:tabs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0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1">
    <w:name w:val="Header"/>
    <w:basedOn w:val="Normal"/>
    <w:link w:val="af4"/>
    <w:uiPriority w:val="99"/>
    <w:rsid w:val="003c6f53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2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3">
    <w:name w:val="Title"/>
    <w:basedOn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Абзац списка1"/>
    <w:basedOn w:val="Normal"/>
    <w:qFormat/>
    <w:rsid w:val="00807865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paragraph" w:styleId="Pboth" w:customStyle="1">
    <w:name w:val="pboth"/>
    <w:basedOn w:val="Normal"/>
    <w:qFormat/>
    <w:rsid w:val="00bc2111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CB74-5D7D-4EAF-A805-F250F287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Application>LibreOffice/6.0.7.3$Linux_X86_64 LibreOffice_project/00m0$Build-3</Application>
  <Pages>4</Pages>
  <Words>797</Words>
  <Characters>5930</Characters>
  <CharactersWithSpaces>7288</CharactersWithSpaces>
  <Paragraphs>151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2019-06-07T01:55:00Z</dcterms:created>
  <dc:creator>Настя</dc:creator>
  <dc:description/>
  <dc:language>ru-RU</dc:language>
  <cp:lastModifiedBy/>
  <cp:lastPrinted>2020-04-21T06:42:00Z</cp:lastPrinted>
  <dcterms:modified xsi:type="dcterms:W3CDTF">2020-05-13T12:37:09Z</dcterms:modified>
  <cp:revision>173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