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ПОСТАНОВЛЕНИЕ  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left" w:pos="7170" w:leader="none"/>
          <w:tab w:val="right" w:pos="963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>04.03.2019</w:t>
        <w:tab/>
        <w:t xml:space="preserve">              № 47</w:t>
        <w:tab/>
        <w:t xml:space="preserve">                                                                                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750"/>
        <w:gridCol w:w="3819"/>
      </w:tblGrid>
      <w:tr>
        <w:trPr/>
        <w:tc>
          <w:tcPr>
            <w:tcW w:w="5750" w:type="dxa"/>
            <w:tcBorders/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и дополнений в постановление Администрации города Шарыпово от 03.10.2013г.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12.10.2018 №248; от 12.11.2018 № 286; от 20.02.2019 №29)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819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города Шарыпово от 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12.10.2018 №248; от 12.11.2018 № 286; от 20.02.2019 №29),  следующие изменения: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1.1. В Приложении № 1 «Перечень целевых показателей муниципальной программы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программы» к Паспорту муниципальной программы «Управление муниципальным имуществом муниципального образования города Шарыпово Красноярского края», строку 1.2., изложить в следующей редакции: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82"/>
        <w:gridCol w:w="1913"/>
        <w:gridCol w:w="848"/>
        <w:gridCol w:w="412"/>
        <w:gridCol w:w="567"/>
        <w:gridCol w:w="426"/>
        <w:gridCol w:w="425"/>
        <w:gridCol w:w="567"/>
        <w:gridCol w:w="426"/>
        <w:gridCol w:w="707"/>
        <w:gridCol w:w="708"/>
        <w:gridCol w:w="709"/>
        <w:gridCol w:w="709"/>
        <w:gridCol w:w="680"/>
      </w:tblGrid>
      <w:tr>
        <w:trPr/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7020" w:leader="none"/>
              </w:tabs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Цель:</w:t>
            </w:r>
            <w:r>
              <w:rPr>
                <w:sz w:val="16"/>
                <w:szCs w:val="16"/>
              </w:rPr>
              <w:t xml:space="preserve"> 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</w:tr>
      <w:tr>
        <w:trPr/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сформированных земельных участков, находящихся в муниципальной собственности от общего количества земельных участков, на которых расположены объекты муниципальной собственности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менее 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менее 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не менее 66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не менее 67</w:t>
            </w:r>
          </w:p>
          <w:p>
            <w:pPr>
              <w:pStyle w:val="Normal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не менее 68</w:t>
            </w:r>
          </w:p>
          <w:p>
            <w:pPr>
              <w:pStyle w:val="Normal"/>
              <w:tabs>
                <w:tab w:val="left" w:pos="7020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left" w:pos="6645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6645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изложить в следующей редакции:  </w:t>
      </w:r>
    </w:p>
    <w:tbl>
      <w:tblPr>
        <w:tblW w:w="9639" w:type="dxa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4"/>
        <w:gridCol w:w="1418"/>
        <w:gridCol w:w="566"/>
        <w:gridCol w:w="565"/>
        <w:gridCol w:w="567"/>
        <w:gridCol w:w="1135"/>
        <w:gridCol w:w="709"/>
        <w:gridCol w:w="851"/>
        <w:gridCol w:w="850"/>
        <w:gridCol w:w="851"/>
        <w:gridCol w:w="992"/>
        <w:gridCol w:w="850"/>
      </w:tblGrid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3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Задача 2.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Управление и контроль за реализацией муниципальной подпрограммы.</w:t>
            </w:r>
          </w:p>
        </w:tc>
      </w:tr>
      <w:tr>
        <w:trPr>
          <w:trHeight w:val="1020" w:hRule="atLeast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Мероприятие.</w:t>
            </w:r>
          </w:p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Руководство и управление в сфере установленных функций органов местного самоуправления, исполнение расходов на мероприятия по подпрограмме.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КУМИ Администрации г.Шарыпово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5 737,60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5 737,60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5 737,60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17 212,80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Достижение ежегодного показателя 5 баллов по уровню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расходов Главного распорядителя</w:t>
            </w:r>
          </w:p>
        </w:tc>
      </w:tr>
      <w:tr>
        <w:trPr>
          <w:trHeight w:val="1020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1020087860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40,84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20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65,25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20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10200S0220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20,71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20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1020010220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(краевые)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020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1020010240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(краевые)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1 096,30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1 600,70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1 600,70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4 297,70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7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1020088760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47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1 319,10</w:t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23 015,20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1.3. В Приложении № 3 «Информация о ресурсном обеспечении муниципальной программы «Управление муниципальным имуществом муниципального образования 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 муниципальной программе «Управление муниципальным имуществом муниципального образования город Шарыпово Красноярского края», строки 1., 1.2., изложить в следующей редакции: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8"/>
        <w:gridCol w:w="724"/>
        <w:gridCol w:w="853"/>
        <w:gridCol w:w="867"/>
        <w:gridCol w:w="2"/>
        <w:gridCol w:w="707"/>
        <w:gridCol w:w="3"/>
        <w:gridCol w:w="849"/>
        <w:gridCol w:w="2"/>
        <w:gridCol w:w="1274"/>
        <w:gridCol w:w="2"/>
        <w:gridCol w:w="708"/>
        <w:gridCol w:w="1"/>
        <w:gridCol w:w="2"/>
        <w:gridCol w:w="989"/>
        <w:gridCol w:w="1"/>
        <w:gridCol w:w="2"/>
        <w:gridCol w:w="988"/>
        <w:gridCol w:w="2"/>
        <w:gridCol w:w="2"/>
        <w:gridCol w:w="989"/>
        <w:gridCol w:w="2"/>
        <w:gridCol w:w="2"/>
        <w:gridCol w:w="1135"/>
      </w:tblGrid>
      <w:tr>
        <w:trPr>
          <w:trHeight w:val="1771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5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год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год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год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за 2019-2021 года</w:t>
            </w:r>
          </w:p>
        </w:tc>
      </w:tr>
      <w:tr>
        <w:trPr>
          <w:trHeight w:val="268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6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РзПР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771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ind w:left="-111" w:firstLine="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8 159,20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25 115,20</w:t>
            </w:r>
          </w:p>
        </w:tc>
      </w:tr>
      <w:tr>
        <w:trPr>
          <w:trHeight w:val="1254" w:hRule="atLeast"/>
        </w:trPr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0113</w:t>
            </w:r>
            <w:r>
              <w:rPr>
                <w:sz w:val="16"/>
                <w:szCs w:val="16"/>
              </w:rPr>
              <w:t>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1010085670;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1020010210;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1020010220;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1020010240;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1020087860;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1020088760;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10200S0220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244; 121; 122;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8 159,20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8 478,00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25 115,20</w:t>
            </w:r>
          </w:p>
        </w:tc>
      </w:tr>
      <w:tr>
        <w:trPr>
          <w:trHeight w:val="1326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реализации программы и прочие мероприятия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подпрограмме 2 муниципальной программы</w:t>
            </w:r>
          </w:p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7 459,20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23 015,20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50" w:hRule="atLeast"/>
        </w:trPr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1020010210;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1020010220;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1020010240;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1020087860;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1020088760;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10200S0220</w:t>
            </w:r>
          </w:p>
        </w:tc>
        <w:tc>
          <w:tcPr>
            <w:tcW w:w="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 122; 129;</w:t>
            </w:r>
          </w:p>
          <w:p>
            <w:pPr>
              <w:pStyle w:val="Normal"/>
              <w:tabs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7 459,20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7 778,00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23 015,20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>
      <w:pPr>
        <w:pStyle w:val="ListParagraph"/>
        <w:widowControl w:val="false"/>
        <w:tabs>
          <w:tab w:val="left" w:pos="0" w:leader="none"/>
          <w:tab w:val="left" w:pos="1134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2. Контроль за исполнением настоящего постановления возложить на исполняющую обязанности руководителя КУМИ Администрации города Шарыпово Пилимонкину Т.В. </w:t>
      </w:r>
    </w:p>
    <w:p>
      <w:pPr>
        <w:pStyle w:val="ListParagraph"/>
        <w:tabs>
          <w:tab w:val="left" w:pos="-57" w:leader="none"/>
          <w:tab w:val="left" w:pos="1026" w:leader="none"/>
        </w:tabs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8"/>
          <w:szCs w:val="28"/>
          <w:lang w:bidi="ru-RU"/>
        </w:rPr>
        <w:t>(www.gorodsharypovo.ru).</w:t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>
      <w:pPr>
        <w:pStyle w:val="ConsNormal"/>
        <w:ind w:right="0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Шарыпово                                                                                    Д.Е. Гудков</w:t>
      </w:r>
    </w:p>
    <w:p>
      <w:pPr>
        <w:pStyle w:val="Normal"/>
        <w:pageBreakBefore w:val="false"/>
        <w:rPr/>
      </w:pPr>
      <w:r>
        <w:rPr/>
      </w:r>
    </w:p>
    <w:sectPr>
      <w:type w:val="nextPage"/>
      <w:pgSz w:w="11906" w:h="16838"/>
      <w:pgMar w:left="1701" w:right="566" w:header="0" w:top="851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2055" w:hanging="1080"/>
      </w:pPr>
    </w:lvl>
    <w:lvl w:ilvl="4">
      <w:start w:val="1"/>
      <w:numFmt w:val="decimal"/>
      <w:lvlText w:val="%1.%2.%3.%4.%5."/>
      <w:lvlJc w:val="left"/>
      <w:pPr>
        <w:ind w:left="2190" w:hanging="1080"/>
      </w:pPr>
    </w:lvl>
    <w:lvl w:ilvl="5">
      <w:start w:val="1"/>
      <w:numFmt w:val="decimal"/>
      <w:lvlText w:val="%1.%2.%3.%4.%5.%6."/>
      <w:lvlJc w:val="left"/>
      <w:pPr>
        <w:ind w:left="2685" w:hanging="1440"/>
      </w:pPr>
    </w:lvl>
    <w:lvl w:ilvl="6">
      <w:start w:val="1"/>
      <w:numFmt w:val="decimal"/>
      <w:lvlText w:val="%1.%2.%3.%4.%5.%6.%7."/>
      <w:lvlJc w:val="left"/>
      <w:pPr>
        <w:ind w:left="3180" w:hanging="1800"/>
      </w:pPr>
    </w:lvl>
    <w:lvl w:ilvl="7">
      <w:start w:val="1"/>
      <w:numFmt w:val="decimal"/>
      <w:lvlText w:val="%1.%2.%3.%4.%5.%6.%7.%8."/>
      <w:lvlJc w:val="left"/>
      <w:pPr>
        <w:ind w:left="3315" w:hanging="1800"/>
      </w:pPr>
    </w:lvl>
    <w:lvl w:ilvl="8">
      <w:start w:val="1"/>
      <w:numFmt w:val="decimal"/>
      <w:lvlText w:val="%1.%2.%3.%4.%5.%6.%7.%8.%9."/>
      <w:lvlJc w:val="left"/>
      <w:pPr>
        <w:ind w:left="381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2d2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 w:customStyle="1">
    <w:name w:val="List Paragraph"/>
    <w:basedOn w:val="Normal"/>
    <w:qFormat/>
    <w:rsid w:val="00b32d27"/>
    <w:pPr>
      <w:ind w:left="720" w:hanging="0"/>
    </w:pPr>
    <w:rPr>
      <w:sz w:val="20"/>
      <w:szCs w:val="20"/>
    </w:rPr>
  </w:style>
  <w:style w:type="paragraph" w:styleId="ConsNormal" w:customStyle="1">
    <w:name w:val="ConsNormal"/>
    <w:qFormat/>
    <w:rsid w:val="00b32d27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LibreOffice/6.0.7.3$Linux_X86_64 LibreOffice_project/00m0$Build-3</Application>
  <Pages>3</Pages>
  <Words>673</Words>
  <Characters>4462</Characters>
  <CharactersWithSpaces>5262</CharactersWithSpaces>
  <Paragraphs>200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2019-03-12T06:05:00Z</dcterms:created>
  <dc:creator>user</dc:creator>
  <dc:description/>
  <dc:language>ru-RU</dc:language>
  <cp:lastModifiedBy/>
  <dcterms:modified xsi:type="dcterms:W3CDTF">2019-03-12T13:47:44Z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