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C7" w:rsidRDefault="009129C7" w:rsidP="009129C7">
      <w:pPr>
        <w:jc w:val="center"/>
        <w:rPr>
          <w:b/>
        </w:rPr>
      </w:pPr>
      <w:r>
        <w:rPr>
          <w:b/>
        </w:rPr>
        <w:t>ПОСТАНОВЛЕНИЕ</w:t>
      </w:r>
    </w:p>
    <w:p w:rsidR="009129C7" w:rsidRPr="005229F6" w:rsidRDefault="009129C7" w:rsidP="009129C7">
      <w:pPr>
        <w:jc w:val="center"/>
        <w:rPr>
          <w:b/>
        </w:rPr>
      </w:pPr>
    </w:p>
    <w:p w:rsidR="009129C7" w:rsidRPr="008927CF" w:rsidRDefault="008927CF" w:rsidP="00F03694">
      <w:pPr>
        <w:shd w:val="clear" w:color="auto" w:fill="FFFFFF"/>
        <w:spacing w:after="150"/>
        <w:jc w:val="both"/>
        <w:rPr>
          <w:bCs/>
          <w:color w:val="000000"/>
        </w:rPr>
      </w:pPr>
      <w:r w:rsidRPr="008927CF">
        <w:rPr>
          <w:bCs/>
          <w:color w:val="000000"/>
        </w:rPr>
        <w:t>08</w:t>
      </w:r>
      <w:r>
        <w:rPr>
          <w:bCs/>
          <w:color w:val="000000"/>
        </w:rPr>
        <w:t>.04.</w:t>
      </w:r>
      <w:r w:rsidR="00EE1AD6">
        <w:rPr>
          <w:bCs/>
          <w:color w:val="000000"/>
        </w:rPr>
        <w:t>2015</w:t>
      </w:r>
      <w:r w:rsidR="00F03694" w:rsidRPr="005229F6">
        <w:rPr>
          <w:bCs/>
          <w:color w:val="000000"/>
        </w:rPr>
        <w:t xml:space="preserve">г.                                                      </w:t>
      </w:r>
      <w:r w:rsidR="00EE1AD6">
        <w:rPr>
          <w:bCs/>
          <w:color w:val="000000"/>
        </w:rPr>
        <w:t xml:space="preserve">             </w:t>
      </w:r>
      <w:r>
        <w:rPr>
          <w:bCs/>
          <w:color w:val="000000"/>
        </w:rPr>
        <w:t>№</w:t>
      </w:r>
      <w:r w:rsidRPr="008927CF">
        <w:rPr>
          <w:bCs/>
          <w:color w:val="000000"/>
        </w:rPr>
        <w:t xml:space="preserve"> 57</w:t>
      </w:r>
    </w:p>
    <w:p w:rsidR="00EE1AD6" w:rsidRDefault="00EE1AD6" w:rsidP="009129C7">
      <w:pPr>
        <w:shd w:val="clear" w:color="auto" w:fill="FFFFFF"/>
        <w:rPr>
          <w:bCs/>
          <w:color w:val="000000"/>
          <w:sz w:val="24"/>
          <w:szCs w:val="24"/>
        </w:rPr>
      </w:pPr>
    </w:p>
    <w:p w:rsidR="00EC378A" w:rsidRPr="00EE1AD6" w:rsidRDefault="000613F0" w:rsidP="009129C7">
      <w:pPr>
        <w:shd w:val="clear" w:color="auto" w:fill="FFFFFF"/>
        <w:rPr>
          <w:bCs/>
          <w:color w:val="000000"/>
          <w:sz w:val="24"/>
          <w:szCs w:val="24"/>
        </w:rPr>
      </w:pPr>
      <w:r w:rsidRPr="00EE1AD6">
        <w:rPr>
          <w:bCs/>
          <w:color w:val="000000"/>
          <w:sz w:val="24"/>
          <w:szCs w:val="24"/>
        </w:rPr>
        <w:t xml:space="preserve">О мерах по реализации </w:t>
      </w:r>
    </w:p>
    <w:p w:rsidR="00201776" w:rsidRPr="00EE1AD6" w:rsidRDefault="009129C7" w:rsidP="009129C7">
      <w:pPr>
        <w:shd w:val="clear" w:color="auto" w:fill="FFFFFF"/>
        <w:rPr>
          <w:bCs/>
          <w:color w:val="000000"/>
          <w:sz w:val="24"/>
          <w:szCs w:val="24"/>
        </w:rPr>
      </w:pPr>
      <w:r w:rsidRPr="00EE1AD6">
        <w:rPr>
          <w:bCs/>
          <w:color w:val="000000"/>
          <w:sz w:val="24"/>
          <w:szCs w:val="24"/>
        </w:rPr>
        <w:t>Решения</w:t>
      </w:r>
      <w:r w:rsidR="00EC378A" w:rsidRPr="00EE1AD6">
        <w:rPr>
          <w:bCs/>
          <w:color w:val="000000"/>
          <w:sz w:val="24"/>
          <w:szCs w:val="24"/>
        </w:rPr>
        <w:t xml:space="preserve"> </w:t>
      </w:r>
      <w:r w:rsidR="00201776" w:rsidRPr="00EE1AD6">
        <w:rPr>
          <w:bCs/>
          <w:color w:val="000000"/>
          <w:sz w:val="24"/>
          <w:szCs w:val="24"/>
        </w:rPr>
        <w:t>Шарыповского городского Совета</w:t>
      </w:r>
    </w:p>
    <w:p w:rsidR="009129C7" w:rsidRPr="00EE1AD6" w:rsidRDefault="00201776" w:rsidP="009129C7">
      <w:pPr>
        <w:shd w:val="clear" w:color="auto" w:fill="FFFFFF"/>
        <w:rPr>
          <w:bCs/>
          <w:color w:val="000000"/>
          <w:sz w:val="24"/>
          <w:szCs w:val="24"/>
        </w:rPr>
      </w:pPr>
      <w:r w:rsidRPr="00EE1AD6">
        <w:rPr>
          <w:bCs/>
          <w:color w:val="000000"/>
          <w:sz w:val="24"/>
          <w:szCs w:val="24"/>
        </w:rPr>
        <w:t xml:space="preserve">депутатов </w:t>
      </w:r>
      <w:r w:rsidR="0072457B" w:rsidRPr="00EE1AD6">
        <w:rPr>
          <w:bCs/>
          <w:color w:val="000000"/>
          <w:sz w:val="24"/>
          <w:szCs w:val="24"/>
        </w:rPr>
        <w:t xml:space="preserve">от </w:t>
      </w:r>
      <w:r w:rsidR="000613F0" w:rsidRPr="00EE1AD6">
        <w:rPr>
          <w:bCs/>
          <w:color w:val="000000"/>
          <w:sz w:val="24"/>
          <w:szCs w:val="24"/>
        </w:rPr>
        <w:t>1</w:t>
      </w:r>
      <w:r w:rsidR="0072457B" w:rsidRPr="00EE1AD6">
        <w:rPr>
          <w:bCs/>
          <w:color w:val="000000"/>
          <w:sz w:val="24"/>
          <w:szCs w:val="24"/>
        </w:rPr>
        <w:t>6</w:t>
      </w:r>
      <w:r w:rsidR="000613F0" w:rsidRPr="00EE1AD6">
        <w:rPr>
          <w:bCs/>
          <w:color w:val="000000"/>
          <w:sz w:val="24"/>
          <w:szCs w:val="24"/>
        </w:rPr>
        <w:t xml:space="preserve">.12.2014 № </w:t>
      </w:r>
      <w:r w:rsidR="0072457B" w:rsidRPr="00EE1AD6">
        <w:rPr>
          <w:bCs/>
          <w:color w:val="000000"/>
          <w:sz w:val="24"/>
          <w:szCs w:val="24"/>
        </w:rPr>
        <w:t>59-345</w:t>
      </w:r>
      <w:r w:rsidR="000613F0" w:rsidRPr="00EE1AD6">
        <w:rPr>
          <w:bCs/>
          <w:color w:val="000000"/>
          <w:sz w:val="24"/>
          <w:szCs w:val="24"/>
        </w:rPr>
        <w:t> </w:t>
      </w:r>
      <w:r w:rsidR="000613F0" w:rsidRPr="00EE1AD6">
        <w:rPr>
          <w:bCs/>
          <w:color w:val="000000"/>
          <w:sz w:val="24"/>
          <w:szCs w:val="24"/>
        </w:rPr>
        <w:br/>
        <w:t xml:space="preserve">«О бюджете </w:t>
      </w:r>
      <w:r w:rsidR="00EC378A" w:rsidRPr="00EE1AD6">
        <w:rPr>
          <w:bCs/>
          <w:color w:val="000000"/>
          <w:sz w:val="24"/>
          <w:szCs w:val="24"/>
        </w:rPr>
        <w:t xml:space="preserve">города Шарыпово </w:t>
      </w:r>
      <w:r w:rsidR="000613F0" w:rsidRPr="00EE1AD6">
        <w:rPr>
          <w:bCs/>
          <w:color w:val="000000"/>
          <w:sz w:val="24"/>
          <w:szCs w:val="24"/>
        </w:rPr>
        <w:t xml:space="preserve">на 2015 год </w:t>
      </w:r>
    </w:p>
    <w:p w:rsidR="000613F0" w:rsidRPr="00EE1AD6" w:rsidRDefault="000613F0" w:rsidP="009129C7">
      <w:pPr>
        <w:shd w:val="clear" w:color="auto" w:fill="FFFFFF"/>
        <w:rPr>
          <w:bCs/>
          <w:color w:val="000000"/>
          <w:sz w:val="24"/>
          <w:szCs w:val="24"/>
        </w:rPr>
      </w:pPr>
      <w:r w:rsidRPr="00EE1AD6">
        <w:rPr>
          <w:bCs/>
          <w:color w:val="000000"/>
          <w:sz w:val="24"/>
          <w:szCs w:val="24"/>
        </w:rPr>
        <w:t>и плановый период 2016–2017 годов»</w:t>
      </w:r>
    </w:p>
    <w:p w:rsidR="009129C7" w:rsidRPr="005229F6" w:rsidRDefault="009129C7" w:rsidP="009129C7">
      <w:pPr>
        <w:shd w:val="clear" w:color="auto" w:fill="FFFFFF"/>
        <w:rPr>
          <w:color w:val="000000"/>
        </w:rPr>
      </w:pPr>
    </w:p>
    <w:p w:rsidR="00EC378A" w:rsidRDefault="009129C7" w:rsidP="00EC378A">
      <w:pPr>
        <w:shd w:val="clear" w:color="auto" w:fill="FFFFFF"/>
        <w:jc w:val="both"/>
        <w:rPr>
          <w:color w:val="000000"/>
        </w:rPr>
      </w:pPr>
      <w:r w:rsidRPr="005229F6">
        <w:rPr>
          <w:rFonts w:ascii="Verdana" w:hAnsi="Verdana"/>
          <w:color w:val="000000"/>
        </w:rPr>
        <w:tab/>
      </w:r>
      <w:r w:rsidR="000613F0" w:rsidRPr="005229F6">
        <w:rPr>
          <w:rFonts w:ascii="Verdana" w:hAnsi="Verdana"/>
          <w:color w:val="000000"/>
        </w:rPr>
        <w:br/>
      </w:r>
      <w:r w:rsidRPr="005229F6">
        <w:rPr>
          <w:rFonts w:ascii="Verdana" w:hAnsi="Verdana"/>
          <w:color w:val="000000"/>
        </w:rPr>
        <w:t xml:space="preserve">       </w:t>
      </w:r>
      <w:r w:rsidR="000613F0" w:rsidRPr="005229F6">
        <w:rPr>
          <w:color w:val="000000"/>
        </w:rPr>
        <w:t>В соответст</w:t>
      </w:r>
      <w:r w:rsidR="00EC378A" w:rsidRPr="005229F6">
        <w:rPr>
          <w:color w:val="000000"/>
        </w:rPr>
        <w:t>вии с</w:t>
      </w:r>
      <w:r w:rsidR="000613F0" w:rsidRPr="005229F6">
        <w:rPr>
          <w:color w:val="000000"/>
        </w:rPr>
        <w:t xml:space="preserve"> </w:t>
      </w:r>
      <w:r w:rsidR="00EC378A" w:rsidRPr="005229F6">
        <w:rPr>
          <w:bCs/>
          <w:color w:val="000000"/>
        </w:rPr>
        <w:t xml:space="preserve">Решением </w:t>
      </w:r>
      <w:r w:rsidR="00201776" w:rsidRPr="005229F6">
        <w:rPr>
          <w:bCs/>
          <w:color w:val="000000"/>
        </w:rPr>
        <w:t xml:space="preserve">Шарыповского городского Совета депутатов </w:t>
      </w:r>
      <w:r w:rsidR="00EC378A" w:rsidRPr="005229F6">
        <w:rPr>
          <w:bCs/>
          <w:color w:val="000000"/>
        </w:rPr>
        <w:t>от 16.12.2014 № 59-345 «О бюджете города Шарыпово на 2015 год и плановый период 2016–2017 годов»</w:t>
      </w:r>
      <w:r w:rsidRPr="005229F6">
        <w:rPr>
          <w:color w:val="000000"/>
        </w:rPr>
        <w:t>, руководствуясь ст. 37 Устава города Шарыпово,</w:t>
      </w:r>
      <w:r w:rsidR="000613F0" w:rsidRPr="005229F6">
        <w:rPr>
          <w:color w:val="000000"/>
        </w:rPr>
        <w:t xml:space="preserve"> </w:t>
      </w:r>
    </w:p>
    <w:p w:rsidR="00EE1AD6" w:rsidRPr="00EE1AD6" w:rsidRDefault="00EE1AD6" w:rsidP="00EC378A">
      <w:pPr>
        <w:shd w:val="clear" w:color="auto" w:fill="FFFFFF"/>
        <w:jc w:val="both"/>
        <w:rPr>
          <w:color w:val="000000"/>
        </w:rPr>
      </w:pPr>
    </w:p>
    <w:p w:rsidR="000613F0" w:rsidRDefault="000613F0" w:rsidP="00EE1AD6">
      <w:pPr>
        <w:shd w:val="clear" w:color="auto" w:fill="FFFFFF"/>
        <w:tabs>
          <w:tab w:val="left" w:pos="8010"/>
        </w:tabs>
        <w:ind w:firstLine="708"/>
        <w:jc w:val="both"/>
        <w:rPr>
          <w:color w:val="000000"/>
        </w:rPr>
      </w:pPr>
      <w:r w:rsidRPr="005229F6">
        <w:rPr>
          <w:color w:val="000000"/>
        </w:rPr>
        <w:t>ПОСТАНОВЛЯЮ:</w:t>
      </w:r>
    </w:p>
    <w:p w:rsidR="00EE1AD6" w:rsidRPr="005229F6" w:rsidRDefault="00EE1AD6" w:rsidP="00EE1AD6">
      <w:pPr>
        <w:shd w:val="clear" w:color="auto" w:fill="FFFFFF"/>
        <w:tabs>
          <w:tab w:val="left" w:pos="8010"/>
        </w:tabs>
        <w:ind w:firstLine="708"/>
        <w:jc w:val="both"/>
        <w:rPr>
          <w:rFonts w:ascii="Verdana" w:hAnsi="Verdana"/>
          <w:color w:val="000000"/>
        </w:rPr>
      </w:pPr>
    </w:p>
    <w:p w:rsidR="009129C7" w:rsidRPr="005229F6" w:rsidRDefault="000613F0" w:rsidP="00EE1AD6">
      <w:pPr>
        <w:shd w:val="clear" w:color="auto" w:fill="FFFFFF"/>
        <w:ind w:firstLine="709"/>
        <w:jc w:val="both"/>
        <w:rPr>
          <w:color w:val="000000"/>
        </w:rPr>
      </w:pPr>
      <w:r w:rsidRPr="005229F6">
        <w:rPr>
          <w:color w:val="000000"/>
        </w:rPr>
        <w:t xml:space="preserve">1. Главным администраторам доходов </w:t>
      </w:r>
      <w:r w:rsidR="009129C7" w:rsidRPr="005229F6">
        <w:rPr>
          <w:color w:val="000000"/>
        </w:rPr>
        <w:t>городского</w:t>
      </w:r>
      <w:r w:rsidRPr="005229F6">
        <w:rPr>
          <w:color w:val="000000"/>
        </w:rPr>
        <w:t xml:space="preserve"> бюджета, участвующим в формировании доходов </w:t>
      </w:r>
      <w:r w:rsidR="009129C7" w:rsidRPr="005229F6">
        <w:rPr>
          <w:color w:val="000000"/>
        </w:rPr>
        <w:t>городского</w:t>
      </w:r>
      <w:r w:rsidRPr="005229F6">
        <w:rPr>
          <w:color w:val="000000"/>
        </w:rPr>
        <w:t xml:space="preserve"> бюджета:</w:t>
      </w:r>
    </w:p>
    <w:p w:rsidR="009129C7" w:rsidRPr="005229F6" w:rsidRDefault="00702FC2" w:rsidP="009129C7">
      <w:pPr>
        <w:shd w:val="clear" w:color="auto" w:fill="FFFFFF"/>
        <w:ind w:firstLine="709"/>
        <w:jc w:val="both"/>
        <w:rPr>
          <w:color w:val="000000"/>
        </w:rPr>
      </w:pPr>
      <w:r w:rsidRPr="005229F6">
        <w:rPr>
          <w:color w:val="000000"/>
        </w:rPr>
        <w:t xml:space="preserve">а) </w:t>
      </w:r>
      <w:r w:rsidR="000613F0" w:rsidRPr="005229F6">
        <w:rPr>
          <w:color w:val="000000"/>
        </w:rPr>
        <w:t xml:space="preserve">принять меры по обеспечению поступления доходов согласно плановым назначениям по администрируемым доходам </w:t>
      </w:r>
      <w:r w:rsidR="009129C7" w:rsidRPr="005229F6">
        <w:rPr>
          <w:color w:val="000000"/>
        </w:rPr>
        <w:t>городского</w:t>
      </w:r>
      <w:r w:rsidR="000613F0" w:rsidRPr="005229F6">
        <w:rPr>
          <w:color w:val="000000"/>
        </w:rPr>
        <w:t xml:space="preserve"> бюджета, доведенным </w:t>
      </w:r>
      <w:r w:rsidR="009129C7" w:rsidRPr="005229F6">
        <w:rPr>
          <w:color w:val="000000"/>
        </w:rPr>
        <w:t>Ф</w:t>
      </w:r>
      <w:r w:rsidR="000613F0" w:rsidRPr="005229F6">
        <w:rPr>
          <w:color w:val="000000"/>
        </w:rPr>
        <w:t>инансов</w:t>
      </w:r>
      <w:r w:rsidR="009129C7" w:rsidRPr="005229F6">
        <w:rPr>
          <w:color w:val="000000"/>
        </w:rPr>
        <w:t>ым управлением администрации города Шарыпово</w:t>
      </w:r>
      <w:r w:rsidR="000613F0" w:rsidRPr="005229F6">
        <w:rPr>
          <w:color w:val="000000"/>
        </w:rPr>
        <w:t>, а также сокращению задолженности по их уплате (под задолженностью по платежам в бюджет для целей данного постановления понимается сумма платежа, не перечисленная в бюджет в установленный срок);</w:t>
      </w:r>
    </w:p>
    <w:p w:rsidR="000613F0" w:rsidRPr="005229F6" w:rsidRDefault="00702FC2" w:rsidP="009129C7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5229F6">
        <w:rPr>
          <w:color w:val="000000"/>
        </w:rPr>
        <w:t xml:space="preserve">б) </w:t>
      </w:r>
      <w:r w:rsidR="000613F0" w:rsidRPr="005229F6">
        <w:rPr>
          <w:color w:val="000000"/>
        </w:rPr>
        <w:t xml:space="preserve">ежеквартально одновременно с информацией, представляемой для составления и ведения кассового плана, представлять в </w:t>
      </w:r>
      <w:r w:rsidR="001D11BD" w:rsidRPr="005229F6">
        <w:rPr>
          <w:color w:val="000000"/>
        </w:rPr>
        <w:t xml:space="preserve">Финансовое управление администрации города Шарыпово </w:t>
      </w:r>
      <w:r w:rsidR="000613F0" w:rsidRPr="005229F6">
        <w:rPr>
          <w:color w:val="000000"/>
        </w:rPr>
        <w:t xml:space="preserve">информацию о мерах, принятых по обеспечению поступления доходов, а также информацию о динамике задолженности по администрируемым доходам </w:t>
      </w:r>
      <w:r w:rsidR="001D11BD" w:rsidRPr="005229F6">
        <w:rPr>
          <w:color w:val="000000"/>
        </w:rPr>
        <w:t xml:space="preserve">городского </w:t>
      </w:r>
      <w:r w:rsidR="000613F0" w:rsidRPr="005229F6">
        <w:rPr>
          <w:color w:val="000000"/>
        </w:rPr>
        <w:t>бюджета согласно приложению № 1 и о мерах, принятых по сокращению задолженности по их уплате.</w:t>
      </w:r>
      <w:proofErr w:type="gramEnd"/>
    </w:p>
    <w:p w:rsidR="001D11BD" w:rsidRPr="005229F6" w:rsidRDefault="000613F0" w:rsidP="001D11BD">
      <w:pPr>
        <w:shd w:val="clear" w:color="auto" w:fill="FFFFFF"/>
        <w:ind w:firstLine="709"/>
        <w:jc w:val="both"/>
        <w:rPr>
          <w:color w:val="000000"/>
        </w:rPr>
      </w:pPr>
      <w:r w:rsidRPr="005229F6">
        <w:rPr>
          <w:color w:val="000000"/>
        </w:rPr>
        <w:t xml:space="preserve">2. Установить, что получатели средств </w:t>
      </w:r>
      <w:r w:rsidR="001D11BD" w:rsidRPr="005229F6">
        <w:rPr>
          <w:color w:val="000000"/>
        </w:rPr>
        <w:t>городского</w:t>
      </w:r>
      <w:r w:rsidRPr="005229F6">
        <w:rPr>
          <w:color w:val="000000"/>
        </w:rPr>
        <w:t xml:space="preserve"> бюджета, а также автономные и бюджетные учреждения при заключении подлежащих оплате за счет средств </w:t>
      </w:r>
      <w:r w:rsidR="001D11BD" w:rsidRPr="005229F6">
        <w:rPr>
          <w:color w:val="000000"/>
        </w:rPr>
        <w:t xml:space="preserve">городского </w:t>
      </w:r>
      <w:r w:rsidRPr="005229F6">
        <w:rPr>
          <w:color w:val="000000"/>
        </w:rPr>
        <w:t>бюджета договоров (контрактов) на поставку товаров, выполнение работ, оказание услуг предусматривают условия оплаты по факту поставки товаров, выполнения работ, оказания услуг. Установление условия частичной или полной предоплаты возможно в следующих случаях: </w:t>
      </w:r>
    </w:p>
    <w:p w:rsidR="001D11BD" w:rsidRPr="005229F6" w:rsidRDefault="00702FC2" w:rsidP="001D11BD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5229F6">
        <w:rPr>
          <w:color w:val="000000"/>
        </w:rPr>
        <w:t xml:space="preserve">а) </w:t>
      </w:r>
      <w:r w:rsidR="000613F0" w:rsidRPr="005229F6">
        <w:rPr>
          <w:color w:val="000000"/>
        </w:rPr>
        <w:t xml:space="preserve">оплата товаров (работ, услуг) в размере 100 процентов от суммы договора (контракта) на поставку товаров, выполнение работ, оказание услуг, но не более лимитов бюджетных обязательств, подлежащих исполнению за счет средств </w:t>
      </w:r>
      <w:r w:rsidR="001D11BD" w:rsidRPr="005229F6">
        <w:rPr>
          <w:color w:val="000000"/>
        </w:rPr>
        <w:t xml:space="preserve">городского </w:t>
      </w:r>
      <w:r w:rsidR="000613F0" w:rsidRPr="005229F6">
        <w:rPr>
          <w:color w:val="000000"/>
        </w:rPr>
        <w:t>бюджета в соответствующем финансовом году, в соответствии с Перечнем товаров, работ и услуг, авансовые платежи по которым могут предусматриваться в размере 100 процентов от суммы договора (контракта), согласно</w:t>
      </w:r>
      <w:proofErr w:type="gramEnd"/>
      <w:r w:rsidR="000613F0" w:rsidRPr="005229F6">
        <w:rPr>
          <w:color w:val="000000"/>
        </w:rPr>
        <w:t xml:space="preserve"> приложению № 2;</w:t>
      </w:r>
    </w:p>
    <w:p w:rsidR="000613F0" w:rsidRPr="005229F6" w:rsidRDefault="00702FC2" w:rsidP="001D11BD">
      <w:pPr>
        <w:shd w:val="clear" w:color="auto" w:fill="FFFFFF"/>
        <w:ind w:firstLine="709"/>
        <w:jc w:val="both"/>
        <w:rPr>
          <w:color w:val="000000"/>
        </w:rPr>
      </w:pPr>
      <w:r w:rsidRPr="005229F6">
        <w:rPr>
          <w:color w:val="000000"/>
        </w:rPr>
        <w:t xml:space="preserve">б) </w:t>
      </w:r>
      <w:r w:rsidR="000613F0" w:rsidRPr="005229F6">
        <w:rPr>
          <w:color w:val="000000"/>
        </w:rPr>
        <w:t xml:space="preserve">оплата товаров (работ, услуг) в размере до 30 процентов от суммы договора (контракта), но не более лимитов бюджетных обязательств, подлежащих исполнению за счет средств </w:t>
      </w:r>
      <w:r w:rsidR="001D11BD" w:rsidRPr="005229F6">
        <w:rPr>
          <w:color w:val="000000"/>
        </w:rPr>
        <w:t>городского</w:t>
      </w:r>
      <w:r w:rsidR="000613F0" w:rsidRPr="005229F6">
        <w:rPr>
          <w:color w:val="000000"/>
        </w:rPr>
        <w:t xml:space="preserve"> бюджета в соответствующем финансовом </w:t>
      </w:r>
      <w:r w:rsidR="000613F0" w:rsidRPr="005229F6">
        <w:rPr>
          <w:color w:val="000000"/>
        </w:rPr>
        <w:lastRenderedPageBreak/>
        <w:t>году, если иное не предусмотрено законодательством Российской Федерации, по остальным договорам (контрактам).</w:t>
      </w:r>
    </w:p>
    <w:p w:rsidR="00FD5987" w:rsidRPr="005229F6" w:rsidRDefault="000613F0" w:rsidP="00FD5987">
      <w:pPr>
        <w:shd w:val="clear" w:color="auto" w:fill="FFFFFF"/>
        <w:ind w:firstLine="709"/>
        <w:jc w:val="both"/>
        <w:rPr>
          <w:color w:val="000000"/>
        </w:rPr>
      </w:pPr>
      <w:r w:rsidRPr="005229F6">
        <w:rPr>
          <w:color w:val="000000"/>
        </w:rPr>
        <w:t xml:space="preserve">3. Поручить в целях обеспечения реализации </w:t>
      </w:r>
      <w:r w:rsidR="001D11BD" w:rsidRPr="005229F6">
        <w:rPr>
          <w:color w:val="000000"/>
        </w:rPr>
        <w:t>Решения</w:t>
      </w:r>
      <w:r w:rsidRPr="005229F6">
        <w:rPr>
          <w:color w:val="000000"/>
        </w:rPr>
        <w:t xml:space="preserve"> </w:t>
      </w:r>
      <w:r w:rsidR="00201776" w:rsidRPr="005229F6">
        <w:rPr>
          <w:bCs/>
          <w:color w:val="000000"/>
        </w:rPr>
        <w:t xml:space="preserve">Шарыповского городского Совета депутатов </w:t>
      </w:r>
      <w:r w:rsidR="00EC378A" w:rsidRPr="005229F6">
        <w:rPr>
          <w:bCs/>
          <w:color w:val="000000"/>
        </w:rPr>
        <w:t>от 16.12.2014 № 59-345 «О бюджете города Шарыпово на 2015 год и плановый период 2016–2017 годов»</w:t>
      </w:r>
      <w:r w:rsidR="00FD5987" w:rsidRPr="005229F6">
        <w:rPr>
          <w:color w:val="000000"/>
        </w:rPr>
        <w:t>:</w:t>
      </w:r>
    </w:p>
    <w:p w:rsidR="001407EA" w:rsidRDefault="000613F0" w:rsidP="00FD5987">
      <w:pPr>
        <w:shd w:val="clear" w:color="auto" w:fill="FFFFFF"/>
        <w:ind w:firstLine="709"/>
        <w:jc w:val="both"/>
        <w:rPr>
          <w:color w:val="000000"/>
        </w:rPr>
      </w:pPr>
      <w:r w:rsidRPr="005229F6">
        <w:rPr>
          <w:color w:val="000000"/>
        </w:rPr>
        <w:t xml:space="preserve">а) </w:t>
      </w:r>
      <w:r w:rsidR="00131E64">
        <w:rPr>
          <w:color w:val="000000"/>
        </w:rPr>
        <w:t xml:space="preserve">руководителям органов </w:t>
      </w:r>
      <w:r w:rsidR="00680A5D">
        <w:rPr>
          <w:color w:val="000000"/>
        </w:rPr>
        <w:t>Администрации города Шарыпово и руководителям муниципальных учреждений</w:t>
      </w:r>
      <w:r w:rsidR="001407EA">
        <w:rPr>
          <w:color w:val="000000"/>
        </w:rPr>
        <w:t>:</w:t>
      </w:r>
    </w:p>
    <w:p w:rsidR="00FD5987" w:rsidRPr="005229F6" w:rsidRDefault="001407EA" w:rsidP="00FD598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613F0" w:rsidRPr="005229F6">
        <w:rPr>
          <w:color w:val="000000"/>
        </w:rPr>
        <w:t xml:space="preserve">в случае </w:t>
      </w:r>
      <w:proofErr w:type="gramStart"/>
      <w:r w:rsidR="000613F0" w:rsidRPr="005229F6">
        <w:rPr>
          <w:color w:val="000000"/>
        </w:rPr>
        <w:t xml:space="preserve">снижения объема поступлений доходов </w:t>
      </w:r>
      <w:r w:rsidR="00FD5987" w:rsidRPr="005229F6">
        <w:rPr>
          <w:color w:val="000000"/>
        </w:rPr>
        <w:t>городского</w:t>
      </w:r>
      <w:r w:rsidR="000613F0" w:rsidRPr="005229F6">
        <w:rPr>
          <w:color w:val="000000"/>
        </w:rPr>
        <w:t xml:space="preserve"> бюджета</w:t>
      </w:r>
      <w:proofErr w:type="gramEnd"/>
      <w:r w:rsidR="000613F0" w:rsidRPr="005229F6">
        <w:rPr>
          <w:color w:val="000000"/>
        </w:rPr>
        <w:t xml:space="preserve"> обеспечить в первоочередном порядке выплату заработной платы работникам учреждений, оплату коммунальных услуг, исполнение публичных нормативных обязательств, уплату налогов;</w:t>
      </w:r>
    </w:p>
    <w:p w:rsidR="00FD5987" w:rsidRPr="005229F6" w:rsidRDefault="001407EA" w:rsidP="00FD598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613F0" w:rsidRPr="005229F6">
        <w:rPr>
          <w:color w:val="000000"/>
        </w:rPr>
        <w:t xml:space="preserve">не допускать образование просроченной кредиторской и дебиторской задолженности по средствам </w:t>
      </w:r>
      <w:r>
        <w:rPr>
          <w:color w:val="000000"/>
        </w:rPr>
        <w:t>городского</w:t>
      </w:r>
      <w:r w:rsidR="000613F0" w:rsidRPr="005229F6">
        <w:rPr>
          <w:color w:val="000000"/>
        </w:rPr>
        <w:t xml:space="preserve"> бюджета;</w:t>
      </w:r>
    </w:p>
    <w:p w:rsidR="00FD5987" w:rsidRPr="005229F6" w:rsidRDefault="001407EA" w:rsidP="00FD598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613F0" w:rsidRPr="005229F6">
        <w:rPr>
          <w:color w:val="000000"/>
        </w:rPr>
        <w:t xml:space="preserve">проводить работу по минимизации образования остатков средств </w:t>
      </w:r>
      <w:r w:rsidR="00FD5987" w:rsidRPr="005229F6">
        <w:rPr>
          <w:color w:val="000000"/>
        </w:rPr>
        <w:t>городского</w:t>
      </w:r>
      <w:r w:rsidR="000613F0" w:rsidRPr="005229F6">
        <w:rPr>
          <w:color w:val="000000"/>
        </w:rPr>
        <w:t xml:space="preserve"> бюджета на лицевых счетах главных распорядителей и получателей средств </w:t>
      </w:r>
      <w:r w:rsidR="00FD5987" w:rsidRPr="005229F6">
        <w:rPr>
          <w:color w:val="000000"/>
        </w:rPr>
        <w:t>городского бюджета;</w:t>
      </w:r>
    </w:p>
    <w:p w:rsidR="00FD5987" w:rsidRPr="005229F6" w:rsidRDefault="001407EA" w:rsidP="00FD598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613F0" w:rsidRPr="005229F6">
        <w:rPr>
          <w:color w:val="000000"/>
        </w:rPr>
        <w:t>не допускать принятия новых расходных обязательств, не обеспеченных финансовыми ресурсами, и увеличения объема действующих расходных обязательств;</w:t>
      </w:r>
    </w:p>
    <w:p w:rsidR="00FD5987" w:rsidRPr="005229F6" w:rsidRDefault="001407EA" w:rsidP="00FD5987">
      <w:pPr>
        <w:shd w:val="clear" w:color="auto" w:fill="FFFFFF"/>
        <w:ind w:firstLine="709"/>
        <w:jc w:val="both"/>
      </w:pPr>
      <w:r>
        <w:t>б</w:t>
      </w:r>
      <w:r w:rsidR="000613F0" w:rsidRPr="005229F6">
        <w:t xml:space="preserve">) </w:t>
      </w:r>
      <w:r w:rsidR="00FD5987" w:rsidRPr="005229F6">
        <w:t xml:space="preserve">главным распорядителям бюджетных средств </w:t>
      </w:r>
      <w:r w:rsidR="000613F0" w:rsidRPr="005229F6">
        <w:t xml:space="preserve">по мере подписания представлять в </w:t>
      </w:r>
      <w:r w:rsidR="00FD5987" w:rsidRPr="005229F6">
        <w:t xml:space="preserve">Финансовое управление администрации города Шарыпово </w:t>
      </w:r>
      <w:r w:rsidR="000613F0" w:rsidRPr="005229F6">
        <w:t>копии соглашений о предоставлении межбюджетных трансфертов, заключенных с главными распорядителями сре</w:t>
      </w:r>
      <w:proofErr w:type="gramStart"/>
      <w:r w:rsidR="000613F0" w:rsidRPr="005229F6">
        <w:t xml:space="preserve">дств </w:t>
      </w:r>
      <w:r w:rsidR="00680A5D">
        <w:t>кр</w:t>
      </w:r>
      <w:proofErr w:type="gramEnd"/>
      <w:r w:rsidR="00680A5D">
        <w:t>аевого</w:t>
      </w:r>
      <w:r w:rsidR="000613F0" w:rsidRPr="005229F6">
        <w:t xml:space="preserve"> бюджета;</w:t>
      </w:r>
    </w:p>
    <w:p w:rsidR="00FD5987" w:rsidRPr="005229F6" w:rsidRDefault="00FD5987" w:rsidP="00FD5987">
      <w:pPr>
        <w:shd w:val="clear" w:color="auto" w:fill="FFFFFF"/>
        <w:ind w:firstLine="709"/>
        <w:jc w:val="both"/>
        <w:rPr>
          <w:color w:val="000000"/>
        </w:rPr>
      </w:pPr>
      <w:r w:rsidRPr="005229F6">
        <w:t xml:space="preserve">4. </w:t>
      </w:r>
      <w:proofErr w:type="gramStart"/>
      <w:r w:rsidRPr="005229F6">
        <w:t>Контроль за</w:t>
      </w:r>
      <w:proofErr w:type="gramEnd"/>
      <w:r w:rsidRPr="005229F6">
        <w:t xml:space="preserve"> исполнением настоящего постановления оставляю за собой.</w:t>
      </w:r>
    </w:p>
    <w:p w:rsidR="00FD5987" w:rsidRPr="005229F6" w:rsidRDefault="00FD5987" w:rsidP="00FD5987">
      <w:pPr>
        <w:pStyle w:val="1"/>
        <w:tabs>
          <w:tab w:val="left" w:pos="-57"/>
        </w:tabs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5229F6">
        <w:rPr>
          <w:sz w:val="28"/>
          <w:szCs w:val="28"/>
        </w:rPr>
        <w:t xml:space="preserve">5.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Администрации города Шарыпово в сети Интернет. </w:t>
      </w:r>
    </w:p>
    <w:p w:rsidR="00FD5987" w:rsidRPr="005229F6" w:rsidRDefault="00FD5987" w:rsidP="00FD5987">
      <w:pPr>
        <w:pStyle w:val="1"/>
        <w:tabs>
          <w:tab w:val="left" w:pos="-57"/>
        </w:tabs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</w:p>
    <w:p w:rsidR="00FD5987" w:rsidRPr="005229F6" w:rsidRDefault="00FD5987" w:rsidP="00FD5987">
      <w:pPr>
        <w:pStyle w:val="1"/>
        <w:tabs>
          <w:tab w:val="left" w:pos="-57"/>
        </w:tabs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</w:p>
    <w:p w:rsidR="00211C36" w:rsidRPr="005229F6" w:rsidRDefault="00702FC2" w:rsidP="00702FC2">
      <w:pPr>
        <w:shd w:val="clear" w:color="auto" w:fill="FFFFFF"/>
        <w:jc w:val="both"/>
      </w:pPr>
      <w:r w:rsidRPr="005229F6">
        <w:t>Глава Администрации</w:t>
      </w:r>
    </w:p>
    <w:p w:rsidR="007C1EE0" w:rsidRDefault="00E60329" w:rsidP="00702FC2">
      <w:pPr>
        <w:shd w:val="clear" w:color="auto" w:fill="FFFFFF"/>
        <w:jc w:val="both"/>
      </w:pPr>
      <w:r>
        <w:t xml:space="preserve">города </w:t>
      </w:r>
      <w:r w:rsidR="00702FC2" w:rsidRPr="005229F6">
        <w:t xml:space="preserve">Шарыпово                                                   </w:t>
      </w:r>
      <w:r>
        <w:t xml:space="preserve">                             </w:t>
      </w:r>
      <w:r w:rsidR="00702FC2" w:rsidRPr="005229F6">
        <w:t xml:space="preserve">А.С. Погожев </w:t>
      </w:r>
    </w:p>
    <w:p w:rsidR="00D106A5" w:rsidRDefault="00D106A5" w:rsidP="00D106A5">
      <w:pPr>
        <w:shd w:val="clear" w:color="auto" w:fill="FFFFFF"/>
        <w:jc w:val="right"/>
      </w:pPr>
      <w:r>
        <w:t xml:space="preserve">Приложение № </w:t>
      </w:r>
      <w:r>
        <w:t>1</w:t>
      </w:r>
    </w:p>
    <w:p w:rsidR="00D106A5" w:rsidRDefault="00D106A5" w:rsidP="00D106A5">
      <w:pPr>
        <w:shd w:val="clear" w:color="auto" w:fill="FFFFFF"/>
        <w:jc w:val="right"/>
      </w:pPr>
      <w:r>
        <w:t xml:space="preserve">                 к постановлению Администрации</w:t>
      </w:r>
    </w:p>
    <w:p w:rsidR="00D106A5" w:rsidRDefault="00D106A5" w:rsidP="00D106A5">
      <w:pPr>
        <w:shd w:val="clear" w:color="auto" w:fill="FFFFFF"/>
        <w:jc w:val="right"/>
      </w:pPr>
      <w:r>
        <w:t xml:space="preserve">                 города Шарыпово</w:t>
      </w:r>
    </w:p>
    <w:p w:rsidR="00C11998" w:rsidRPr="00C11998" w:rsidRDefault="00D106A5" w:rsidP="00D106A5">
      <w:pPr>
        <w:ind w:firstLine="9639"/>
        <w:jc w:val="right"/>
        <w:rPr>
          <w:color w:val="000000"/>
          <w:sz w:val="20"/>
          <w:szCs w:val="20"/>
        </w:rPr>
      </w:pPr>
      <w:r>
        <w:t>от</w:t>
      </w:r>
      <w:r>
        <w:t xml:space="preserve"> </w:t>
      </w:r>
      <w:r>
        <w:t>08</w:t>
      </w:r>
      <w:r>
        <w:t>.</w:t>
      </w:r>
      <w:r>
        <w:t>04.2015 г. № 57</w:t>
      </w:r>
    </w:p>
    <w:p w:rsidR="00C11998" w:rsidRPr="00C11998" w:rsidRDefault="00C11998" w:rsidP="00C11998">
      <w:pPr>
        <w:jc w:val="center"/>
        <w:rPr>
          <w:sz w:val="20"/>
          <w:szCs w:val="20"/>
        </w:rPr>
      </w:pPr>
      <w:r w:rsidRPr="00C11998">
        <w:rPr>
          <w:b/>
          <w:bCs/>
          <w:color w:val="000000"/>
        </w:rPr>
        <w:t>Информация о динамике задолженности в городской бюджет по администрируемым доходам</w:t>
      </w:r>
    </w:p>
    <w:tbl>
      <w:tblPr>
        <w:tblW w:w="11199" w:type="dxa"/>
        <w:tblInd w:w="-1026" w:type="dxa"/>
        <w:tblLook w:val="04A0" w:firstRow="1" w:lastRow="0" w:firstColumn="1" w:lastColumn="0" w:noHBand="0" w:noVBand="1"/>
      </w:tblPr>
      <w:tblGrid>
        <w:gridCol w:w="567"/>
        <w:gridCol w:w="409"/>
        <w:gridCol w:w="725"/>
        <w:gridCol w:w="1590"/>
        <w:gridCol w:w="1206"/>
        <w:gridCol w:w="1206"/>
        <w:gridCol w:w="1206"/>
        <w:gridCol w:w="1246"/>
        <w:gridCol w:w="1246"/>
        <w:gridCol w:w="1940"/>
      </w:tblGrid>
      <w:tr w:rsidR="00C11998" w:rsidRPr="00C11998" w:rsidTr="00C11998">
        <w:trPr>
          <w:trHeight w:val="39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D106A5" w:rsidP="00C11998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3" o:spid="_x0000_s1035" style="position:absolute;z-index:1;visibility:visible;mso-position-horizontal-relative:text;mso-position-vertical-relative:text" from="27.75pt,17.25pt" to="407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"/>
              </w:pic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</w:tr>
      <w:tr w:rsidR="00C11998" w:rsidRPr="00C11998" w:rsidTr="00C11998">
        <w:trPr>
          <w:trHeight w:val="45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</w:rPr>
            </w:pPr>
            <w:r w:rsidRPr="00C11998">
              <w:rPr>
                <w:color w:val="000000"/>
                <w:vertAlign w:val="superscript"/>
              </w:rPr>
              <w:t>(наименование главного администратора доходов городского бюджета)</w:t>
            </w:r>
          </w:p>
        </w:tc>
      </w:tr>
      <w:tr w:rsidR="00C11998" w:rsidRPr="00C11998" w:rsidTr="00C11998">
        <w:trPr>
          <w:trHeight w:val="1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</w:tr>
      <w:tr w:rsidR="00C11998" w:rsidRPr="00C11998" w:rsidTr="00C11998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 xml:space="preserve">№ </w:t>
            </w:r>
          </w:p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1199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1199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Администрируемые доходы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Задолженность по платежам в бюджет, тыс. рублей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Пояснения о причинах образования задолженности</w:t>
            </w:r>
          </w:p>
        </w:tc>
      </w:tr>
      <w:tr w:rsidR="00C11998" w:rsidRPr="00C11998" w:rsidTr="00C11998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на 01.01.2015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на 01.04.2015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на 01.07.2015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на 01.10.2015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на 01.01.2016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</w:tr>
      <w:tr w:rsidR="00C11998" w:rsidRPr="00C11998" w:rsidTr="00C119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</w:tr>
      <w:tr w:rsidR="00C11998" w:rsidRPr="00C11998" w:rsidTr="00C11998">
        <w:trPr>
          <w:trHeight w:val="375"/>
        </w:trPr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</w:rPr>
            </w:pPr>
            <w:r w:rsidRPr="00C11998">
              <w:rPr>
                <w:color w:val="000000"/>
              </w:rPr>
              <w:t>Руководитель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</w:rPr>
            </w:pPr>
          </w:p>
        </w:tc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jc w:val="right"/>
              <w:rPr>
                <w:color w:val="000000"/>
              </w:rPr>
            </w:pPr>
            <w:r w:rsidRPr="00C11998">
              <w:rPr>
                <w:color w:val="000000"/>
              </w:rPr>
              <w:t>___________/__________________/</w:t>
            </w:r>
          </w:p>
        </w:tc>
      </w:tr>
      <w:tr w:rsidR="00C11998" w:rsidRPr="00C11998" w:rsidTr="00C11998">
        <w:trPr>
          <w:trHeight w:val="36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1998" w:rsidRPr="00C11998" w:rsidRDefault="00C11998" w:rsidP="00C11998">
            <w:pPr>
              <w:jc w:val="center"/>
              <w:rPr>
                <w:color w:val="000000"/>
                <w:sz w:val="22"/>
                <w:szCs w:val="22"/>
              </w:rPr>
            </w:pPr>
            <w:r w:rsidRPr="00C11998">
              <w:rPr>
                <w:color w:val="000000"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</w:tbl>
    <w:p w:rsidR="00C11998" w:rsidRPr="00C11998" w:rsidRDefault="00C11998" w:rsidP="00C11998">
      <w:pPr>
        <w:rPr>
          <w:sz w:val="20"/>
          <w:szCs w:val="20"/>
        </w:rPr>
      </w:pPr>
    </w:p>
    <w:p w:rsidR="00C11998" w:rsidRDefault="00C11998" w:rsidP="00C11998">
      <w:pPr>
        <w:shd w:val="clear" w:color="auto" w:fill="FFFFFF"/>
        <w:jc w:val="right"/>
      </w:pPr>
      <w:r>
        <w:t xml:space="preserve">                Приложение № 2 </w:t>
      </w:r>
    </w:p>
    <w:p w:rsidR="00C11998" w:rsidRDefault="00C11998" w:rsidP="00C11998">
      <w:pPr>
        <w:shd w:val="clear" w:color="auto" w:fill="FFFFFF"/>
        <w:jc w:val="right"/>
      </w:pPr>
      <w:r>
        <w:t xml:space="preserve">                 к постановлению Администрации</w:t>
      </w:r>
    </w:p>
    <w:p w:rsidR="00C11998" w:rsidRDefault="00C11998" w:rsidP="00C11998">
      <w:pPr>
        <w:shd w:val="clear" w:color="auto" w:fill="FFFFFF"/>
        <w:jc w:val="right"/>
      </w:pPr>
      <w:r>
        <w:t xml:space="preserve">                 города Шарыпово</w:t>
      </w:r>
    </w:p>
    <w:p w:rsidR="00C11998" w:rsidRDefault="00C11998" w:rsidP="00C11998">
      <w:pPr>
        <w:shd w:val="clear" w:color="auto" w:fill="FFFFFF"/>
        <w:jc w:val="right"/>
      </w:pPr>
      <w:r>
        <w:t xml:space="preserve">                                                                                                 от 08.04.2015 г. № 57</w:t>
      </w:r>
    </w:p>
    <w:p w:rsidR="00C11998" w:rsidRDefault="00C11998" w:rsidP="00C11998">
      <w:pPr>
        <w:shd w:val="clear" w:color="auto" w:fill="FFFFFF"/>
        <w:jc w:val="both"/>
      </w:pPr>
    </w:p>
    <w:p w:rsidR="00C11998" w:rsidRDefault="00C11998" w:rsidP="00C11998">
      <w:pPr>
        <w:shd w:val="clear" w:color="auto" w:fill="FFFFFF"/>
        <w:jc w:val="both"/>
      </w:pPr>
    </w:p>
    <w:p w:rsidR="00C11998" w:rsidRDefault="00C11998" w:rsidP="00C11998">
      <w:pPr>
        <w:shd w:val="clear" w:color="auto" w:fill="FFFFFF"/>
        <w:jc w:val="center"/>
      </w:pPr>
      <w:r>
        <w:t>Перечень товаров, работ и услуг, авансовые платежи по которым</w:t>
      </w:r>
    </w:p>
    <w:p w:rsidR="00C11998" w:rsidRDefault="00C11998" w:rsidP="00C11998">
      <w:pPr>
        <w:shd w:val="clear" w:color="auto" w:fill="FFFFFF"/>
        <w:jc w:val="center"/>
      </w:pPr>
      <w:r>
        <w:t>могут предусматриваться в размере 100 процентов</w:t>
      </w:r>
    </w:p>
    <w:p w:rsidR="00C11998" w:rsidRDefault="00C11998" w:rsidP="00C11998">
      <w:pPr>
        <w:shd w:val="clear" w:color="auto" w:fill="FFFFFF"/>
        <w:jc w:val="center"/>
      </w:pPr>
      <w:r>
        <w:t>от суммы договора (контракта)</w:t>
      </w:r>
    </w:p>
    <w:p w:rsidR="00C11998" w:rsidRDefault="00C11998" w:rsidP="00C11998">
      <w:pPr>
        <w:shd w:val="clear" w:color="auto" w:fill="FFFFFF"/>
        <w:jc w:val="both"/>
      </w:pPr>
    </w:p>
    <w:p w:rsidR="00C11998" w:rsidRDefault="00C11998" w:rsidP="00C11998">
      <w:pPr>
        <w:shd w:val="clear" w:color="auto" w:fill="FFFFFF"/>
        <w:jc w:val="both"/>
      </w:pPr>
      <w:r>
        <w:t>1.</w:t>
      </w:r>
      <w:r>
        <w:tab/>
        <w:t xml:space="preserve">Услуги по подписке на периодические издания, услуги почтовой связи. </w:t>
      </w:r>
    </w:p>
    <w:p w:rsidR="00C11998" w:rsidRDefault="00C11998" w:rsidP="00C11998">
      <w:pPr>
        <w:shd w:val="clear" w:color="auto" w:fill="FFFFFF"/>
        <w:jc w:val="both"/>
      </w:pPr>
      <w:r>
        <w:t>2.</w:t>
      </w:r>
      <w:r>
        <w:tab/>
        <w:t>Услуги по обучению на курсах повышения квалификации, взносы на участие в семинарах, соревнованиях, конференциях, выставках.</w:t>
      </w:r>
    </w:p>
    <w:p w:rsidR="00C11998" w:rsidRDefault="00C11998" w:rsidP="00C11998">
      <w:pPr>
        <w:shd w:val="clear" w:color="auto" w:fill="FFFFFF"/>
        <w:jc w:val="both"/>
      </w:pPr>
      <w:r>
        <w:t>3.</w:t>
      </w:r>
      <w:r>
        <w:tab/>
        <w:t xml:space="preserve">Приобретение ученических медалей, </w:t>
      </w:r>
      <w:proofErr w:type="gramStart"/>
      <w:r>
        <w:t>учебно-педагогической</w:t>
      </w:r>
      <w:proofErr w:type="gramEnd"/>
      <w:r>
        <w:t xml:space="preserve"> </w:t>
      </w:r>
    </w:p>
    <w:p w:rsidR="00C11998" w:rsidRDefault="00C11998" w:rsidP="00C11998">
      <w:pPr>
        <w:shd w:val="clear" w:color="auto" w:fill="FFFFFF"/>
        <w:jc w:val="both"/>
      </w:pPr>
      <w:r>
        <w:t xml:space="preserve">и </w:t>
      </w:r>
      <w:proofErr w:type="spellStart"/>
      <w:r>
        <w:t>аттестационно</w:t>
      </w:r>
      <w:proofErr w:type="spellEnd"/>
      <w:r>
        <w:t>-бланочной документации.</w:t>
      </w:r>
    </w:p>
    <w:p w:rsidR="00C11998" w:rsidRDefault="00C11998" w:rsidP="00C11998">
      <w:pPr>
        <w:shd w:val="clear" w:color="auto" w:fill="FFFFFF"/>
        <w:jc w:val="both"/>
      </w:pPr>
      <w:r>
        <w:t>4.</w:t>
      </w:r>
      <w:r>
        <w:tab/>
        <w:t>Услуги по организации и проведению мероприятий (концертов) приглашенными коллективами, исполнителями.</w:t>
      </w:r>
    </w:p>
    <w:p w:rsidR="00C11998" w:rsidRDefault="00C11998" w:rsidP="00C11998">
      <w:pPr>
        <w:shd w:val="clear" w:color="auto" w:fill="FFFFFF"/>
        <w:jc w:val="both"/>
      </w:pPr>
      <w:r>
        <w:t>5.</w:t>
      </w:r>
      <w:r>
        <w:tab/>
        <w:t xml:space="preserve">Услуги по страхованию жизни, здоровья и имущества </w:t>
      </w:r>
      <w:proofErr w:type="gramStart"/>
      <w:r>
        <w:t>физических</w:t>
      </w:r>
      <w:proofErr w:type="gramEnd"/>
      <w:r>
        <w:t xml:space="preserve"> </w:t>
      </w:r>
    </w:p>
    <w:p w:rsidR="00C11998" w:rsidRDefault="00C11998" w:rsidP="00C11998">
      <w:pPr>
        <w:shd w:val="clear" w:color="auto" w:fill="FFFFFF"/>
        <w:jc w:val="both"/>
      </w:pPr>
      <w:r>
        <w:t>и юридических лиц (в том числе услуги по обязательному страхованию гражданской ответственности владельцев транспортных средств).</w:t>
      </w:r>
    </w:p>
    <w:p w:rsidR="00C11998" w:rsidRDefault="00C11998" w:rsidP="00C11998">
      <w:pPr>
        <w:shd w:val="clear" w:color="auto" w:fill="FFFFFF"/>
        <w:jc w:val="both"/>
      </w:pPr>
      <w:r>
        <w:t>6.</w:t>
      </w:r>
      <w:r>
        <w:tab/>
        <w:t>Услуги сотовой связи, стационарной телефонной связи, Интернета.</w:t>
      </w:r>
    </w:p>
    <w:p w:rsidR="00C11998" w:rsidRDefault="00C11998" w:rsidP="00C11998">
      <w:pPr>
        <w:shd w:val="clear" w:color="auto" w:fill="FFFFFF"/>
        <w:jc w:val="both"/>
      </w:pPr>
      <w:r>
        <w:t>7.</w:t>
      </w:r>
      <w:r>
        <w:tab/>
        <w:t>Ави</w:t>
      </w:r>
      <w:proofErr w:type="gramStart"/>
      <w:r>
        <w:t>а-</w:t>
      </w:r>
      <w:proofErr w:type="gramEnd"/>
      <w:r>
        <w:t xml:space="preserve"> и железнодорожные билеты, билеты для проезда городским </w:t>
      </w:r>
    </w:p>
    <w:p w:rsidR="00C11998" w:rsidRDefault="00C11998" w:rsidP="00C11998">
      <w:pPr>
        <w:shd w:val="clear" w:color="auto" w:fill="FFFFFF"/>
        <w:jc w:val="both"/>
      </w:pPr>
      <w:r>
        <w:t>и пригородным транспортом.</w:t>
      </w:r>
    </w:p>
    <w:p w:rsidR="00C11998" w:rsidRDefault="00C11998" w:rsidP="00C11998">
      <w:pPr>
        <w:shd w:val="clear" w:color="auto" w:fill="FFFFFF"/>
        <w:jc w:val="both"/>
      </w:pPr>
      <w:r>
        <w:t>8.</w:t>
      </w:r>
      <w:r>
        <w:tab/>
        <w:t>Услуги по экспертизе оргтехники и оборудования.</w:t>
      </w:r>
    </w:p>
    <w:p w:rsidR="00C11998" w:rsidRDefault="00C11998" w:rsidP="00C11998">
      <w:pPr>
        <w:shd w:val="clear" w:color="auto" w:fill="FFFFFF"/>
        <w:jc w:val="both"/>
      </w:pPr>
      <w:r>
        <w:t>9.</w:t>
      </w:r>
      <w:r>
        <w:tab/>
        <w:t>Услуги по санитарным эпидемиологическим и гигиеническим исследованиям.</w:t>
      </w:r>
    </w:p>
    <w:p w:rsidR="00C11998" w:rsidRDefault="00C11998" w:rsidP="00C11998">
      <w:pPr>
        <w:shd w:val="clear" w:color="auto" w:fill="FFFFFF"/>
        <w:jc w:val="both"/>
      </w:pPr>
      <w:r>
        <w:t>10.</w:t>
      </w:r>
      <w:r>
        <w:tab/>
        <w:t>Услуги по техническому учету объектов недвижимости.</w:t>
      </w:r>
    </w:p>
    <w:p w:rsidR="00C11998" w:rsidRDefault="00C11998" w:rsidP="00C11998">
      <w:pPr>
        <w:shd w:val="clear" w:color="auto" w:fill="FFFFFF"/>
        <w:jc w:val="both"/>
      </w:pPr>
      <w:r>
        <w:t>11.</w:t>
      </w:r>
      <w:r>
        <w:tab/>
        <w:t xml:space="preserve">Технологическое присоединение к инженерным сетям электро-, тепло-, водоснабжения и канализации, а также получение технических условий на проектирование. </w:t>
      </w:r>
    </w:p>
    <w:p w:rsidR="00C11998" w:rsidRDefault="00C11998" w:rsidP="00C11998">
      <w:pPr>
        <w:shd w:val="clear" w:color="auto" w:fill="FFFFFF"/>
        <w:jc w:val="both"/>
      </w:pPr>
      <w:r>
        <w:t>12.</w:t>
      </w:r>
      <w:r>
        <w:tab/>
        <w:t>Получение технических условий на технологическое присоединение к инженерным сетям электро-, водоснабжения, монтаж узлов учета расхода холодной воды, приборов учета электрической энергии.</w:t>
      </w:r>
    </w:p>
    <w:p w:rsidR="00C11998" w:rsidRDefault="00C11998" w:rsidP="00C11998">
      <w:pPr>
        <w:shd w:val="clear" w:color="auto" w:fill="FFFFFF"/>
        <w:jc w:val="both"/>
      </w:pPr>
      <w:r>
        <w:lastRenderedPageBreak/>
        <w:t>13.</w:t>
      </w:r>
      <w:r>
        <w:tab/>
        <w:t>Услуги по согласованию и получению заключений надзорных органов, необходимые для получения разрешений на строительство, ввод объектов в эксплуатацию.</w:t>
      </w:r>
    </w:p>
    <w:p w:rsidR="00C11998" w:rsidRDefault="00C11998" w:rsidP="00C11998">
      <w:pPr>
        <w:shd w:val="clear" w:color="auto" w:fill="FFFFFF"/>
        <w:jc w:val="both"/>
      </w:pPr>
      <w:r>
        <w:t>14.</w:t>
      </w:r>
      <w:r>
        <w:tab/>
        <w:t xml:space="preserve">Услуги по государственной экспертизе проектной документации </w:t>
      </w:r>
    </w:p>
    <w:p w:rsidR="00C11998" w:rsidRDefault="00C11998" w:rsidP="00C11998">
      <w:pPr>
        <w:shd w:val="clear" w:color="auto" w:fill="FFFFFF"/>
        <w:jc w:val="both"/>
      </w:pPr>
      <w:r>
        <w:t>и услуги по проведению проверки сметной стоимости объектов капитального строительства.</w:t>
      </w:r>
    </w:p>
    <w:p w:rsidR="00C11998" w:rsidRDefault="00C11998" w:rsidP="00C11998">
      <w:pPr>
        <w:shd w:val="clear" w:color="auto" w:fill="FFFFFF"/>
        <w:jc w:val="both"/>
      </w:pPr>
      <w:r>
        <w:t>15.</w:t>
      </w:r>
      <w:r>
        <w:tab/>
        <w:t>Приобретение цветов, наградной продукции.</w:t>
      </w:r>
    </w:p>
    <w:p w:rsidR="00C11998" w:rsidRDefault="00C11998" w:rsidP="00C11998">
      <w:pPr>
        <w:shd w:val="clear" w:color="auto" w:fill="FFFFFF"/>
        <w:jc w:val="both"/>
      </w:pPr>
      <w:r>
        <w:t>16.</w:t>
      </w:r>
      <w:r>
        <w:tab/>
        <w:t>Услуги по организации отдыха и оздоровления детей.</w:t>
      </w:r>
      <w:bookmarkStart w:id="0" w:name="_GoBack"/>
      <w:bookmarkEnd w:id="0"/>
    </w:p>
    <w:sectPr w:rsidR="00C11998" w:rsidSect="00D106A5">
      <w:pgSz w:w="11906" w:h="16838"/>
      <w:pgMar w:top="719" w:right="0" w:bottom="89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3F0"/>
    <w:rsid w:val="00002FBB"/>
    <w:rsid w:val="000068CE"/>
    <w:rsid w:val="000170A8"/>
    <w:rsid w:val="000258C2"/>
    <w:rsid w:val="00042B54"/>
    <w:rsid w:val="000453C4"/>
    <w:rsid w:val="00052CDA"/>
    <w:rsid w:val="000552CB"/>
    <w:rsid w:val="0005770A"/>
    <w:rsid w:val="000613F0"/>
    <w:rsid w:val="0006278F"/>
    <w:rsid w:val="00084A3D"/>
    <w:rsid w:val="000A1041"/>
    <w:rsid w:val="000A2917"/>
    <w:rsid w:val="000A2A61"/>
    <w:rsid w:val="000A2B3B"/>
    <w:rsid w:val="000B771C"/>
    <w:rsid w:val="000C38B3"/>
    <w:rsid w:val="000D464D"/>
    <w:rsid w:val="000D52F0"/>
    <w:rsid w:val="000D59C1"/>
    <w:rsid w:val="000D79E2"/>
    <w:rsid w:val="000F237D"/>
    <w:rsid w:val="00101DD2"/>
    <w:rsid w:val="001147AC"/>
    <w:rsid w:val="0011763C"/>
    <w:rsid w:val="00131E64"/>
    <w:rsid w:val="00136C4D"/>
    <w:rsid w:val="001407EA"/>
    <w:rsid w:val="00142767"/>
    <w:rsid w:val="00146D11"/>
    <w:rsid w:val="00147161"/>
    <w:rsid w:val="00166376"/>
    <w:rsid w:val="00170678"/>
    <w:rsid w:val="00177137"/>
    <w:rsid w:val="00180EE9"/>
    <w:rsid w:val="00182DB2"/>
    <w:rsid w:val="00186943"/>
    <w:rsid w:val="00192D8E"/>
    <w:rsid w:val="00197330"/>
    <w:rsid w:val="001A012E"/>
    <w:rsid w:val="001A3762"/>
    <w:rsid w:val="001A40BF"/>
    <w:rsid w:val="001B636E"/>
    <w:rsid w:val="001B734B"/>
    <w:rsid w:val="001C4F61"/>
    <w:rsid w:val="001C6BE9"/>
    <w:rsid w:val="001C719A"/>
    <w:rsid w:val="001D11BD"/>
    <w:rsid w:val="001D5AC5"/>
    <w:rsid w:val="001E3B48"/>
    <w:rsid w:val="00200227"/>
    <w:rsid w:val="00201776"/>
    <w:rsid w:val="00210666"/>
    <w:rsid w:val="00211AEA"/>
    <w:rsid w:val="00211C36"/>
    <w:rsid w:val="00214218"/>
    <w:rsid w:val="002154BC"/>
    <w:rsid w:val="0021660B"/>
    <w:rsid w:val="002211CC"/>
    <w:rsid w:val="002335BC"/>
    <w:rsid w:val="0023632B"/>
    <w:rsid w:val="00236F9E"/>
    <w:rsid w:val="00245DDF"/>
    <w:rsid w:val="00247D98"/>
    <w:rsid w:val="00257C22"/>
    <w:rsid w:val="00270DEB"/>
    <w:rsid w:val="002744BB"/>
    <w:rsid w:val="00280F39"/>
    <w:rsid w:val="002814D4"/>
    <w:rsid w:val="00286C48"/>
    <w:rsid w:val="00294D2D"/>
    <w:rsid w:val="002A471D"/>
    <w:rsid w:val="002C06F5"/>
    <w:rsid w:val="002C2E4A"/>
    <w:rsid w:val="002D0B6F"/>
    <w:rsid w:val="002D24DE"/>
    <w:rsid w:val="002E1C56"/>
    <w:rsid w:val="002E61F3"/>
    <w:rsid w:val="002E6553"/>
    <w:rsid w:val="002E75F8"/>
    <w:rsid w:val="002F4BDB"/>
    <w:rsid w:val="002F60C4"/>
    <w:rsid w:val="003017A6"/>
    <w:rsid w:val="00302B6E"/>
    <w:rsid w:val="00312A7A"/>
    <w:rsid w:val="0031351D"/>
    <w:rsid w:val="003138B3"/>
    <w:rsid w:val="003271DB"/>
    <w:rsid w:val="00336362"/>
    <w:rsid w:val="0034129A"/>
    <w:rsid w:val="00364C12"/>
    <w:rsid w:val="00367BC9"/>
    <w:rsid w:val="003849D3"/>
    <w:rsid w:val="00384AF5"/>
    <w:rsid w:val="00385CD2"/>
    <w:rsid w:val="003B0EAC"/>
    <w:rsid w:val="003B5297"/>
    <w:rsid w:val="003D0B0D"/>
    <w:rsid w:val="003D350B"/>
    <w:rsid w:val="003E77C1"/>
    <w:rsid w:val="003F2DEB"/>
    <w:rsid w:val="003F420C"/>
    <w:rsid w:val="00403271"/>
    <w:rsid w:val="00406829"/>
    <w:rsid w:val="0041206C"/>
    <w:rsid w:val="00413F47"/>
    <w:rsid w:val="004147C1"/>
    <w:rsid w:val="00416F08"/>
    <w:rsid w:val="0043159F"/>
    <w:rsid w:val="004412A5"/>
    <w:rsid w:val="00441DAE"/>
    <w:rsid w:val="00455F5D"/>
    <w:rsid w:val="00461096"/>
    <w:rsid w:val="00472BB1"/>
    <w:rsid w:val="0047470E"/>
    <w:rsid w:val="0047715A"/>
    <w:rsid w:val="004868A1"/>
    <w:rsid w:val="0049279A"/>
    <w:rsid w:val="0049346F"/>
    <w:rsid w:val="004A3364"/>
    <w:rsid w:val="004A390F"/>
    <w:rsid w:val="004A5941"/>
    <w:rsid w:val="004B13E1"/>
    <w:rsid w:val="004B3DAB"/>
    <w:rsid w:val="004E3B3E"/>
    <w:rsid w:val="004F1319"/>
    <w:rsid w:val="004F3EC0"/>
    <w:rsid w:val="00505D4D"/>
    <w:rsid w:val="00515A15"/>
    <w:rsid w:val="00516E5B"/>
    <w:rsid w:val="005176A8"/>
    <w:rsid w:val="00517EB1"/>
    <w:rsid w:val="005229F6"/>
    <w:rsid w:val="005247BB"/>
    <w:rsid w:val="00533052"/>
    <w:rsid w:val="00542C1A"/>
    <w:rsid w:val="0055464C"/>
    <w:rsid w:val="0056561C"/>
    <w:rsid w:val="00590304"/>
    <w:rsid w:val="0059554C"/>
    <w:rsid w:val="005B5FA7"/>
    <w:rsid w:val="005E2862"/>
    <w:rsid w:val="005E614B"/>
    <w:rsid w:val="005F4E26"/>
    <w:rsid w:val="005F572D"/>
    <w:rsid w:val="0061703E"/>
    <w:rsid w:val="00622362"/>
    <w:rsid w:val="00622B94"/>
    <w:rsid w:val="00632486"/>
    <w:rsid w:val="006344D0"/>
    <w:rsid w:val="00662FDD"/>
    <w:rsid w:val="00680A5D"/>
    <w:rsid w:val="00680D7D"/>
    <w:rsid w:val="00687437"/>
    <w:rsid w:val="006A52AF"/>
    <w:rsid w:val="006C3204"/>
    <w:rsid w:val="006C467D"/>
    <w:rsid w:val="006D0E8C"/>
    <w:rsid w:val="006D2D9D"/>
    <w:rsid w:val="006E19E4"/>
    <w:rsid w:val="006E3275"/>
    <w:rsid w:val="006F42BC"/>
    <w:rsid w:val="006F4956"/>
    <w:rsid w:val="00702FC2"/>
    <w:rsid w:val="00706710"/>
    <w:rsid w:val="00706990"/>
    <w:rsid w:val="00710500"/>
    <w:rsid w:val="0072457B"/>
    <w:rsid w:val="00726101"/>
    <w:rsid w:val="00726826"/>
    <w:rsid w:val="00732402"/>
    <w:rsid w:val="007449A5"/>
    <w:rsid w:val="00752546"/>
    <w:rsid w:val="00772FCF"/>
    <w:rsid w:val="007740A9"/>
    <w:rsid w:val="0077420F"/>
    <w:rsid w:val="00786E30"/>
    <w:rsid w:val="00790E56"/>
    <w:rsid w:val="00792BDF"/>
    <w:rsid w:val="007A1C00"/>
    <w:rsid w:val="007B4478"/>
    <w:rsid w:val="007B62C2"/>
    <w:rsid w:val="007B6862"/>
    <w:rsid w:val="007C1EE0"/>
    <w:rsid w:val="007C45C1"/>
    <w:rsid w:val="007C6C87"/>
    <w:rsid w:val="007E290D"/>
    <w:rsid w:val="007E66EA"/>
    <w:rsid w:val="007F7C52"/>
    <w:rsid w:val="00821042"/>
    <w:rsid w:val="008220D5"/>
    <w:rsid w:val="00824821"/>
    <w:rsid w:val="008261C1"/>
    <w:rsid w:val="008366F7"/>
    <w:rsid w:val="00846503"/>
    <w:rsid w:val="00875710"/>
    <w:rsid w:val="00883AE6"/>
    <w:rsid w:val="008927CF"/>
    <w:rsid w:val="00895178"/>
    <w:rsid w:val="008951DB"/>
    <w:rsid w:val="008A16E1"/>
    <w:rsid w:val="008A3419"/>
    <w:rsid w:val="008A7EFF"/>
    <w:rsid w:val="008D033F"/>
    <w:rsid w:val="008D0DDF"/>
    <w:rsid w:val="008D5367"/>
    <w:rsid w:val="008E2B91"/>
    <w:rsid w:val="008F02DC"/>
    <w:rsid w:val="008F0B29"/>
    <w:rsid w:val="009012FC"/>
    <w:rsid w:val="00906A46"/>
    <w:rsid w:val="00910A58"/>
    <w:rsid w:val="009129C7"/>
    <w:rsid w:val="0092642D"/>
    <w:rsid w:val="00940811"/>
    <w:rsid w:val="00941134"/>
    <w:rsid w:val="009527FB"/>
    <w:rsid w:val="0096726F"/>
    <w:rsid w:val="00973B0B"/>
    <w:rsid w:val="00977D13"/>
    <w:rsid w:val="009A4F4F"/>
    <w:rsid w:val="009C3BDC"/>
    <w:rsid w:val="009C3F32"/>
    <w:rsid w:val="009D0CA8"/>
    <w:rsid w:val="009D0E90"/>
    <w:rsid w:val="009E37F6"/>
    <w:rsid w:val="009E4CF6"/>
    <w:rsid w:val="009F032B"/>
    <w:rsid w:val="009F6AB4"/>
    <w:rsid w:val="009F6DE8"/>
    <w:rsid w:val="00A014E7"/>
    <w:rsid w:val="00A01A35"/>
    <w:rsid w:val="00A10B75"/>
    <w:rsid w:val="00A1226A"/>
    <w:rsid w:val="00A15B51"/>
    <w:rsid w:val="00A32FF7"/>
    <w:rsid w:val="00A569BF"/>
    <w:rsid w:val="00A755B5"/>
    <w:rsid w:val="00A87674"/>
    <w:rsid w:val="00A93D7B"/>
    <w:rsid w:val="00A941C1"/>
    <w:rsid w:val="00AB6B28"/>
    <w:rsid w:val="00AC344C"/>
    <w:rsid w:val="00AC35E5"/>
    <w:rsid w:val="00AC48AA"/>
    <w:rsid w:val="00AE342C"/>
    <w:rsid w:val="00AE5CC3"/>
    <w:rsid w:val="00AF5E7E"/>
    <w:rsid w:val="00AF6C13"/>
    <w:rsid w:val="00B01F31"/>
    <w:rsid w:val="00B053E9"/>
    <w:rsid w:val="00B068BB"/>
    <w:rsid w:val="00B30B09"/>
    <w:rsid w:val="00B36451"/>
    <w:rsid w:val="00B544B1"/>
    <w:rsid w:val="00B57237"/>
    <w:rsid w:val="00B67F70"/>
    <w:rsid w:val="00B77628"/>
    <w:rsid w:val="00B924B4"/>
    <w:rsid w:val="00B97D4C"/>
    <w:rsid w:val="00B97E80"/>
    <w:rsid w:val="00BA7703"/>
    <w:rsid w:val="00BB634D"/>
    <w:rsid w:val="00BC4AED"/>
    <w:rsid w:val="00BC6F6E"/>
    <w:rsid w:val="00BC74CA"/>
    <w:rsid w:val="00BE0963"/>
    <w:rsid w:val="00BE1B1D"/>
    <w:rsid w:val="00BF0B59"/>
    <w:rsid w:val="00BF7BD2"/>
    <w:rsid w:val="00C0161C"/>
    <w:rsid w:val="00C10BD8"/>
    <w:rsid w:val="00C112B9"/>
    <w:rsid w:val="00C11998"/>
    <w:rsid w:val="00C11BF1"/>
    <w:rsid w:val="00C131D2"/>
    <w:rsid w:val="00C16A19"/>
    <w:rsid w:val="00C2038E"/>
    <w:rsid w:val="00C21C9B"/>
    <w:rsid w:val="00C239E7"/>
    <w:rsid w:val="00C301B4"/>
    <w:rsid w:val="00C43F58"/>
    <w:rsid w:val="00C63AEC"/>
    <w:rsid w:val="00C70247"/>
    <w:rsid w:val="00C70286"/>
    <w:rsid w:val="00C755DD"/>
    <w:rsid w:val="00C81EC0"/>
    <w:rsid w:val="00C821A8"/>
    <w:rsid w:val="00C82AD1"/>
    <w:rsid w:val="00C95685"/>
    <w:rsid w:val="00C97184"/>
    <w:rsid w:val="00CA3E90"/>
    <w:rsid w:val="00CA4E4A"/>
    <w:rsid w:val="00CB1416"/>
    <w:rsid w:val="00CB1D7F"/>
    <w:rsid w:val="00CB2458"/>
    <w:rsid w:val="00CC00A1"/>
    <w:rsid w:val="00CC0A06"/>
    <w:rsid w:val="00CD6CEF"/>
    <w:rsid w:val="00CD76E3"/>
    <w:rsid w:val="00CE3E66"/>
    <w:rsid w:val="00CE54DC"/>
    <w:rsid w:val="00CE747F"/>
    <w:rsid w:val="00CF1FA3"/>
    <w:rsid w:val="00D00B6D"/>
    <w:rsid w:val="00D035D3"/>
    <w:rsid w:val="00D106A5"/>
    <w:rsid w:val="00D12DBA"/>
    <w:rsid w:val="00D16F66"/>
    <w:rsid w:val="00D22D61"/>
    <w:rsid w:val="00D403C1"/>
    <w:rsid w:val="00D42E49"/>
    <w:rsid w:val="00D50ACC"/>
    <w:rsid w:val="00D513F7"/>
    <w:rsid w:val="00D57934"/>
    <w:rsid w:val="00D70EF0"/>
    <w:rsid w:val="00D724EC"/>
    <w:rsid w:val="00D76E3E"/>
    <w:rsid w:val="00D8638C"/>
    <w:rsid w:val="00D922C7"/>
    <w:rsid w:val="00D975C5"/>
    <w:rsid w:val="00DA171C"/>
    <w:rsid w:val="00DB456F"/>
    <w:rsid w:val="00DB7D9A"/>
    <w:rsid w:val="00DE6A79"/>
    <w:rsid w:val="00DF7319"/>
    <w:rsid w:val="00E06FBA"/>
    <w:rsid w:val="00E148C6"/>
    <w:rsid w:val="00E20854"/>
    <w:rsid w:val="00E277F6"/>
    <w:rsid w:val="00E35096"/>
    <w:rsid w:val="00E35293"/>
    <w:rsid w:val="00E433C8"/>
    <w:rsid w:val="00E50503"/>
    <w:rsid w:val="00E60329"/>
    <w:rsid w:val="00E62542"/>
    <w:rsid w:val="00E62717"/>
    <w:rsid w:val="00E63418"/>
    <w:rsid w:val="00E705EB"/>
    <w:rsid w:val="00E719C0"/>
    <w:rsid w:val="00E77A4A"/>
    <w:rsid w:val="00E868B1"/>
    <w:rsid w:val="00E9178D"/>
    <w:rsid w:val="00E92B9E"/>
    <w:rsid w:val="00EB3531"/>
    <w:rsid w:val="00EB44CC"/>
    <w:rsid w:val="00EB7445"/>
    <w:rsid w:val="00EC378A"/>
    <w:rsid w:val="00EC4258"/>
    <w:rsid w:val="00EC6B0E"/>
    <w:rsid w:val="00ED2FE2"/>
    <w:rsid w:val="00ED414C"/>
    <w:rsid w:val="00EE1AD6"/>
    <w:rsid w:val="00EE2FBB"/>
    <w:rsid w:val="00EE3DE0"/>
    <w:rsid w:val="00EE4203"/>
    <w:rsid w:val="00F026A9"/>
    <w:rsid w:val="00F03694"/>
    <w:rsid w:val="00F12D29"/>
    <w:rsid w:val="00F202FF"/>
    <w:rsid w:val="00F363DF"/>
    <w:rsid w:val="00F43B7F"/>
    <w:rsid w:val="00F47A15"/>
    <w:rsid w:val="00F51524"/>
    <w:rsid w:val="00F60A5E"/>
    <w:rsid w:val="00F62151"/>
    <w:rsid w:val="00F64DCB"/>
    <w:rsid w:val="00F7521A"/>
    <w:rsid w:val="00F76113"/>
    <w:rsid w:val="00F81636"/>
    <w:rsid w:val="00F9090E"/>
    <w:rsid w:val="00FA12ED"/>
    <w:rsid w:val="00FB16DC"/>
    <w:rsid w:val="00FB2FEA"/>
    <w:rsid w:val="00FC34F7"/>
    <w:rsid w:val="00FC4D1F"/>
    <w:rsid w:val="00FC5469"/>
    <w:rsid w:val="00FD5987"/>
    <w:rsid w:val="00FD649E"/>
    <w:rsid w:val="00FD72E2"/>
    <w:rsid w:val="00FE0292"/>
    <w:rsid w:val="00FE1D76"/>
    <w:rsid w:val="00FE216B"/>
    <w:rsid w:val="00FE57AA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13F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0613F0"/>
    <w:rPr>
      <w:b/>
      <w:bCs/>
    </w:rPr>
  </w:style>
  <w:style w:type="character" w:customStyle="1" w:styleId="apple-converted-space">
    <w:name w:val="apple-converted-space"/>
    <w:basedOn w:val="a0"/>
    <w:rsid w:val="000613F0"/>
  </w:style>
  <w:style w:type="character" w:styleId="a5">
    <w:name w:val="Hyperlink"/>
    <w:rsid w:val="000613F0"/>
    <w:rPr>
      <w:color w:val="0000FF"/>
      <w:u w:val="single"/>
    </w:rPr>
  </w:style>
  <w:style w:type="paragraph" w:customStyle="1" w:styleId="a6">
    <w:name w:val="Знак Знак Знак"/>
    <w:basedOn w:val="a"/>
    <w:rsid w:val="009129C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7">
    <w:name w:val="List Paragraph"/>
    <w:basedOn w:val="a"/>
    <w:qFormat/>
    <w:rsid w:val="00FD5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FD5987"/>
    <w:pPr>
      <w:ind w:left="720"/>
    </w:pPr>
    <w:rPr>
      <w:sz w:val="20"/>
      <w:szCs w:val="20"/>
    </w:rPr>
  </w:style>
  <w:style w:type="paragraph" w:customStyle="1" w:styleId="a8">
    <w:name w:val="Знак"/>
    <w:basedOn w:val="a"/>
    <w:rsid w:val="00FD59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80A5D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rsid w:val="007C1EE0"/>
    <w:pPr>
      <w:spacing w:line="240" w:lineRule="exact"/>
      <w:jc w:val="both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kom133</dc:creator>
  <cp:keywords/>
  <cp:lastModifiedBy>mig</cp:lastModifiedBy>
  <cp:revision>4</cp:revision>
  <cp:lastPrinted>2015-04-08T09:00:00Z</cp:lastPrinted>
  <dcterms:created xsi:type="dcterms:W3CDTF">2015-04-10T02:32:00Z</dcterms:created>
  <dcterms:modified xsi:type="dcterms:W3CDTF">2015-04-15T03:40:00Z</dcterms:modified>
</cp:coreProperties>
</file>