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/>
        <w:ind w:hanging="0" w:left="10348" w:right="0"/>
        <w:contextualSpacing w:val="false"/>
        <w:rPr>
          <w:rFonts w:ascii="Times New Roman" w:cs="Times New Roman" w:hAnsi="Times New Roman"/>
          <w:sz w:val="24"/>
          <w:szCs w:val="24"/>
          <w:lang w:val="en-US"/>
        </w:rPr>
      </w:pPr>
      <w:r>
        <w:rPr>
          <w:rFonts w:ascii="Times New Roman" w:cs="Times New Roman" w:hAnsi="Times New Roman"/>
          <w:sz w:val="24"/>
          <w:szCs w:val="24"/>
        </w:rPr>
        <w:t xml:space="preserve">Приложение № </w:t>
      </w:r>
      <w:bookmarkStart w:id="0" w:name="_GoBack"/>
      <w:bookmarkEnd w:id="0"/>
      <w:r>
        <w:rPr>
          <w:rFonts w:ascii="Times New Roman" w:cs="Times New Roman" w:hAnsi="Times New Roman"/>
          <w:sz w:val="24"/>
          <w:szCs w:val="24"/>
          <w:lang w:val="en-US"/>
        </w:rPr>
        <w:t>1</w:t>
      </w:r>
    </w:p>
    <w:p>
      <w:pPr>
        <w:pStyle w:val="style0"/>
        <w:spacing w:after="0" w:before="0"/>
        <w:ind w:hanging="0" w:left="10348" w:right="0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 подпрограмме «Патриотическое воспитание молодежи города Шарыпово»</w:t>
      </w:r>
    </w:p>
    <w:p>
      <w:pPr>
        <w:pStyle w:val="style0"/>
        <w:spacing w:after="0" w:before="0"/>
        <w:contextualSpacing w:val="false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Перечень целевых индикаторов подпрограммы «Патриотического воспитания молодежи города Шарыпово»</w:t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5"/>
        <w:gridCol w:w="3968"/>
        <w:gridCol w:w="1477"/>
        <w:gridCol w:w="1640"/>
        <w:gridCol w:w="1512"/>
        <w:gridCol w:w="1039"/>
        <w:gridCol w:w="1132"/>
        <w:gridCol w:w="1133"/>
        <w:gridCol w:w="1132"/>
        <w:gridCol w:w="999"/>
      </w:tblGrid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type="dxa" w:w="39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type="dxa" w:w="14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type="dxa" w:w="16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Вес показателя результативности</w:t>
            </w:r>
          </w:p>
        </w:tc>
        <w:tc>
          <w:tcPr>
            <w:tcW w:type="dxa" w:w="15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type="dxa" w:w="103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2012 г.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2013 г. 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2014 г.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2015 г. </w:t>
            </w:r>
          </w:p>
        </w:tc>
        <w:tc>
          <w:tcPr>
            <w:tcW w:type="dxa" w:w="99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2016 г.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4032"/>
            <w:gridSpan w:val="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Цель: Создание условий для дальнейшего развития и совершенствования системы  патриотического воспитания молодежи в городе Шарыпово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4032"/>
            <w:gridSpan w:val="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Целевые индикаторы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</w:t>
            </w:r>
          </w:p>
        </w:tc>
        <w:tc>
          <w:tcPr>
            <w:tcW w:type="dxa" w:w="39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Удельный вес молодых граждан, проживающих в городе Шарыпово являющихся воспитанниками патриотических клубов, прошедших подготовку к военной службе  в Вооруженных Силах РФ, в их общей численности</w:t>
            </w:r>
          </w:p>
        </w:tc>
        <w:tc>
          <w:tcPr>
            <w:tcW w:type="dxa" w:w="14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%</w:t>
            </w:r>
          </w:p>
        </w:tc>
        <w:tc>
          <w:tcPr>
            <w:tcW w:type="dxa" w:w="16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5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type="dxa" w:w="103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5,33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8,77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8,77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8,77</w:t>
            </w:r>
          </w:p>
        </w:tc>
        <w:tc>
          <w:tcPr>
            <w:tcW w:type="dxa" w:w="99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8,77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</w:t>
            </w:r>
          </w:p>
        </w:tc>
        <w:tc>
          <w:tcPr>
            <w:tcW w:type="dxa" w:w="39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Удельный вес молодых граждан, вовлеченных в добровольческую деятельность, в их общей численности</w:t>
            </w:r>
          </w:p>
        </w:tc>
        <w:tc>
          <w:tcPr>
            <w:tcW w:type="dxa" w:w="14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%</w:t>
            </w:r>
          </w:p>
        </w:tc>
        <w:tc>
          <w:tcPr>
            <w:tcW w:type="dxa" w:w="16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5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type="dxa" w:w="103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1,83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1,83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1,83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1,83</w:t>
            </w:r>
          </w:p>
        </w:tc>
        <w:tc>
          <w:tcPr>
            <w:tcW w:type="dxa" w:w="99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1,83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</w:t>
            </w:r>
          </w:p>
        </w:tc>
        <w:tc>
          <w:tcPr>
            <w:tcW w:type="dxa" w:w="39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учащихся, вовлеченных в творческую и исследовательскую деятельность патриотической направленности</w:t>
            </w:r>
          </w:p>
        </w:tc>
        <w:tc>
          <w:tcPr>
            <w:tcW w:type="dxa" w:w="147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type="dxa" w:w="164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51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type="dxa" w:w="103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type="dxa" w:w="11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type="dxa" w:w="113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type="dxa" w:w="99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</w:tr>
    </w:tbl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spacing w:after="0" w:before="0"/>
        <w:contextualSpacing w:val="false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Начальник отдела СТиМП Администрации города Шарыпово</w:t>
        <w:tab/>
        <w:tab/>
        <w:tab/>
        <w:tab/>
        <w:tab/>
        <w:tab/>
        <w:tab/>
        <w:t>Л.А. Когданина</w:t>
      </w:r>
    </w:p>
    <w:p>
      <w:pPr>
        <w:pStyle w:val="style0"/>
        <w:rPr/>
      </w:pPr>
      <w:r>
        <w:rPr/>
      </w:r>
    </w:p>
    <w:sectPr>
      <w:type w:val="nextPage"/>
      <w:pgSz w:h="11906" w:orient="landscape" w:w="16838"/>
      <w:pgMar w:bottom="426" w:footer="0" w:gutter="0" w:header="0" w:left="1134" w:right="1134" w:top="709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3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2013-09-03T08:37:00Z</dcterms:created>
  <dc:creator>ОСТиМП</dc:creator>
  <cp:lastModifiedBy>mig</cp:lastModifiedBy>
  <cp:lastPrinted>2013-09-23T03:27:00Z</cp:lastPrinted>
  <dcterms:modified xsi:type="dcterms:W3CDTF">2013-10-10T08:04:00Z</dcterms:modified>
  <cp:revision>14</cp:revision>
</cp:coreProperties>
</file>