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105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распоряжению</w:t>
      </w:r>
    </w:p>
    <w:p>
      <w:pPr>
        <w:pStyle w:val="Normal"/>
        <w:spacing w:lineRule="auto" w:line="240" w:before="0" w:after="0"/>
        <w:ind w:left="1105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Шарыпово</w:t>
      </w:r>
    </w:p>
    <w:p>
      <w:pPr>
        <w:pStyle w:val="Normal"/>
        <w:spacing w:lineRule="auto" w:line="240" w:before="0" w:after="0"/>
        <w:ind w:left="11057" w:hanging="0"/>
        <w:rPr/>
      </w:pPr>
      <w:bookmarkStart w:id="0" w:name="__DdeLink__842_1151275249"/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21.01.2020 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43</w:t>
      </w:r>
      <w:bookmarkEnd w:id="0"/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(«дорожная карта»)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Муниципального образования город Шарыпово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формированию комплексной поддержки СО НКО</w:t>
      </w:r>
      <w:r>
        <w:rPr>
          <w:rStyle w:val="FootnoteCharacters"/>
          <w:rStyle w:val="Style11"/>
          <w:rFonts w:ascii="Times New Roman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обеспечению доступа СО НКО к предоставлению услуг в социальной сфере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f"/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9"/>
        <w:gridCol w:w="7009"/>
        <w:gridCol w:w="1634"/>
        <w:gridCol w:w="2959"/>
        <w:gridCol w:w="2513"/>
      </w:tblGrid>
      <w:tr>
        <w:trPr>
          <w:tblHeader w:val="true"/>
        </w:trPr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1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1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1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документа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15" w:type="dxa"/>
            <w:gridSpan w:val="4"/>
            <w:tcBorders/>
            <w:shd w:fill="auto" w:val="clear"/>
          </w:tcPr>
          <w:p>
            <w:pPr>
              <w:pStyle w:val="Normal"/>
              <w:tabs>
                <w:tab w:val="left" w:pos="14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Координация деятельности органов местного самоуправления, а также других заинтересованных сторон, по формированию комплексной поддержки СО НКО и обеспечению доступа СО НКО к предоставлению услуг в социальной сфере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Мониторинг востребованности предоставляемых услуг в социальной сфере (образование, культура, массовый спорт, молодежная политика), в том числе услуг, предоставляемых СО НКО. </w:t>
            </w:r>
          </w:p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Информирование отраслевых МБУ</w:t>
            </w:r>
            <w:r>
              <w:rPr>
                <w:rStyle w:val="FootnoteCharacters"/>
                <w:rStyle w:val="Style11"/>
                <w:color w:val="auto"/>
                <w:sz w:val="20"/>
                <w:szCs w:val="20"/>
              </w:rPr>
              <w:footnoteReference w:id="3"/>
            </w:r>
            <w:r>
              <w:rPr>
                <w:color w:val="auto"/>
                <w:sz w:val="20"/>
                <w:szCs w:val="20"/>
              </w:rPr>
              <w:t xml:space="preserve"> и СО НКО о результатах мониторинга.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09.01.2020 – 15.03.2020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записка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Ведение единого реестра услуг социальной сферы от отраслевых МБУ и СО НКО (образование, культура, массовый спорт, молодежная политика) на сайте администрации.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01.04.2020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администрации, Ресурсный центр</w:t>
            </w:r>
            <w:r>
              <w:rPr>
                <w:rStyle w:val="FootnoteCharacters"/>
                <w:rStyle w:val="Style11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Мониторинг муниципальных нормативных правовых актов, регламентирующих поддержку СО НКО и обеспечение их доступа к предоставлению услуг в социальной сфере. Внесение изменений в части целевых показателей по обеспечению поэтапного доступа СО НКО к бюджетным средствам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администрации, Рабочая группа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по актуализации нормативных правовых актов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Ведение реестра СО НКО, получивших поддержку на уровне МО</w:t>
            </w:r>
            <w:r>
              <w:rPr>
                <w:rStyle w:val="FootnoteCharacters"/>
                <w:rStyle w:val="Style11"/>
                <w:color w:val="auto"/>
                <w:sz w:val="20"/>
                <w:szCs w:val="20"/>
              </w:rPr>
              <w:footnoteReference w:id="5"/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Подготовка ежегодного доклада о формировании комплексной поддержки СО НКО и обеспечению доступа СО НКО к предоставлению услуг в социальной сфере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01.12.2020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  <w:p>
            <w:pPr>
              <w:pStyle w:val="Normal"/>
              <w:spacing w:lineRule="auto" w:line="240" w:before="0" w:after="0"/>
              <w:ind w:firstLine="8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для публичного размещения на муниципальном сайте 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1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MS Minch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механизмов комплексной поддержки гражданских инициатив и СО НКО, предоставляющих услуги в социальной сфере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межведомственной комплексной программы (или плана) по развитию и поддержке гражданской инициативы населения и СО НКО. 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в качестве исполнителей программы (плана): школьные и молодежные органы самоуправления, отраслевые органы управления и муниципальные учреждения (образование, культура, массовый спорт, молодежная политика), СО НКО, предоставляющие услуги для других СО НКО. </w:t>
            </w:r>
          </w:p>
          <w:p>
            <w:pPr>
              <w:pStyle w:val="ListParagraph"/>
              <w:spacing w:lineRule="auto" w:line="240" w:before="0" w:after="0"/>
              <w:ind w:left="502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Рекомендуемые направления программы (плана):</w:t>
            </w:r>
          </w:p>
          <w:p>
            <w:pPr>
              <w:pStyle w:val="ListParagraph"/>
              <w:spacing w:lineRule="auto" w:line="240" w:before="0" w:after="0"/>
              <w:ind w:left="0" w:firstLine="50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 уровня гражданской активности населения;</w:t>
            </w:r>
          </w:p>
          <w:p>
            <w:pPr>
              <w:pStyle w:val="ListParagraph"/>
              <w:spacing w:lineRule="auto" w:line="240" w:before="0" w:after="0"/>
              <w:ind w:left="0" w:firstLine="50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инфраструктуры поддержки гражданских инициатив физических и юридических лиц (материальные и нематериальные меры поддержки);</w:t>
            </w:r>
          </w:p>
          <w:p>
            <w:pPr>
              <w:pStyle w:val="ListParagraph"/>
              <w:spacing w:lineRule="auto" w:line="240" w:before="0" w:after="0"/>
              <w:ind w:left="0" w:firstLine="50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комплекса образовательных /просветительских семинаров, курсов, тренингов, стажировок;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50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информационного пространства в МО с конструктивным содержанием: о социальных проектах, инициативах, поступках, активистах; </w:t>
            </w:r>
          </w:p>
          <w:p>
            <w:pPr>
              <w:pStyle w:val="Default"/>
              <w:spacing w:lineRule="auto" w:line="240" w:before="0" w:after="200"/>
              <w:ind w:firstLine="50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- формирование системы включения молодёжи, взрослого населения в социально-экономические процессы;</w:t>
            </w:r>
          </w:p>
          <w:p>
            <w:pPr>
              <w:pStyle w:val="Default"/>
              <w:spacing w:lineRule="auto" w:line="240" w:before="0" w:after="200"/>
              <w:ind w:firstLine="502"/>
              <w:contextualSpacing/>
              <w:jc w:val="both"/>
              <w:rPr/>
            </w:pPr>
            <w:r>
              <w:rPr>
                <w:color w:val="auto"/>
              </w:rPr>
              <w:t>- развитие добровольчества в МО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группы, Рабочая группа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MS Minch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программа (или план)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Default"/>
              <w:spacing w:before="0" w:after="200"/>
              <w:contextualSpacing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Организация и проведение муниципального конкурса грантовых программ по поддержки СО НКО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MS Minch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акт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 отраслевых МБУ мер поддержки гражданских инициатив и СО НКО: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информационная поддержка;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консультационная поддержка;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методическая поддержка;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имущественная,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дополнительное профессиональное образование работников и добровольцев СОНКО.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Отраслевые МБУ,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Порядки, планы</w:t>
            </w:r>
          </w:p>
        </w:tc>
      </w:tr>
      <w:tr>
        <w:trPr>
          <w:trHeight w:val="415" w:hRule="atLeast"/>
        </w:trPr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Совершенствование механизмов государственного регулирования, направленных на формирование СО НКО как поставщика услуг и обеспечение участия СО НКО в предоставлении услуг в социальной сфере МО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налоговых льгот СО НКО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Уполномоченное лицо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акт 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СО НКО на этапе вхождения в реестр ИОПУ</w:t>
            </w:r>
            <w:r>
              <w:rPr>
                <w:rStyle w:val="FootnoteCharacters"/>
                <w:rStyle w:val="Style11"/>
                <w:rFonts w:ascii="Times New Roman" w:hAnsi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реестр поставщиков социальных услуг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при поддержке «Краевого центра поддержки общественных инициатив»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Пакеты документов в доступе, консультации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анализ существующих механизмов организации конкурентного оказания услуг. Определение набора услуг в социальной сфере, переводимых на механизмы конкурентного финансирования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записка и рекомендательное письмо </w:t>
            </w:r>
          </w:p>
        </w:tc>
      </w:tr>
      <w:tr>
        <w:trPr>
          <w:trHeight w:val="595" w:hRule="atLeast"/>
        </w:trPr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отраслевых встреч-обсуждений (с участием Общественного Совета, СО НКО) полученных результатов мониторингов (пп 1.3., 1.4.) для:</w:t>
            </w:r>
          </w:p>
          <w:p>
            <w:pPr>
              <w:pStyle w:val="Normal"/>
              <w:spacing w:lineRule="auto" w:line="240" w:before="0" w:after="0"/>
              <w:ind w:firstLine="37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инвентаризации муниципальных услуг в социальной сфере;</w:t>
            </w:r>
          </w:p>
          <w:p>
            <w:pPr>
              <w:pStyle w:val="Normal"/>
              <w:spacing w:lineRule="auto" w:line="240" w:before="0" w:after="0"/>
              <w:ind w:firstLine="37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определения приоритетов в развитии социальной сферы;</w:t>
            </w:r>
          </w:p>
          <w:p>
            <w:pPr>
              <w:pStyle w:val="Normal"/>
              <w:spacing w:lineRule="auto" w:line="240" w:before="0" w:after="0"/>
              <w:ind w:firstLine="37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подготовки рекомендаций отраслевым ведомствам;</w:t>
            </w:r>
          </w:p>
          <w:p>
            <w:pPr>
              <w:pStyle w:val="Normal"/>
              <w:spacing w:lineRule="auto" w:line="240" w:before="0" w:after="0"/>
              <w:ind w:firstLine="37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проектирования новых востребованных услуг СО НКО;</w:t>
            </w:r>
          </w:p>
          <w:p>
            <w:pPr>
              <w:pStyle w:val="Normal"/>
              <w:tabs>
                <w:tab w:val="left" w:pos="269" w:leader="none"/>
              </w:tabs>
              <w:spacing w:lineRule="auto" w:line="240" w:before="0" w:after="0"/>
              <w:ind w:firstLine="37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определения ниш для развития социального предпринимательства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записка и рекомендательные письма заинтересованным структурам</w:t>
            </w:r>
          </w:p>
        </w:tc>
      </w:tr>
      <w:tr>
        <w:trPr>
          <w:trHeight w:val="595" w:hRule="atLeast"/>
        </w:trPr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рекомендаций по расширению поддержки СО НКО структурам по отраслевому принципу: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органу управления,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МБУ,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 НКО, реализующим соответствующие услуги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 разделом о развитии волонтерства/добровольчества и благотворительности, с обратной отчётностью по исполнению рекомендаций, формами и сроками контроля за исполнением)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</w:p>
        </w:tc>
      </w:tr>
      <w:tr>
        <w:trPr>
          <w:trHeight w:val="595" w:hRule="atLeast"/>
        </w:trPr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комплекса семинаров для инициативных граждан, проектных команд, СО НКО по темам: политика общественно-государственного управления; гражданское общество; регистрация СО НКО, грантовые конкурсы, социальное предпринимательство, развитие добровольчества и пр.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группа, Структурные подразделения администрации,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семинаров для разных категорий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Имущественная поддержка СО НКО, оказывающим населению услуги в социальной сфере, в приоритетном порядке в виде предоставления недвижимого имущества в аренду на льготных условиях или в безвозмездное пользование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акт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условий для обеспечения доступа СО НКО к оказанию услуг в социальной сфере, в том числе: развитие конкурентных механизмов предоставления услуг в социальной сфере</w:t>
            </w:r>
            <w:bookmarkStart w:id="1" w:name="_GoBack"/>
            <w:bookmarkEnd w:id="1"/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лучших практик оказания услуг в социальной сфере СО НКО за счет бюджетного финансирования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МО в федеральных и региональных формах поддержки СО НКО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документов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Формирование перечней видов услуг, которые рекомендованы к исполнению не муниципальным организациям (в том числе СО НКО)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3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полугодие 2020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9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Нормативный</w:t>
            </w:r>
          </w:p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правовой акт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комплекса семинаров для команд, объединенных по отраслевому признаку: муниципальных поставщиков (управление, учреждения) и СОНКО по темам: политика доступа, ИОПУ, ведомственные перечни услуг, клиентоориентированность, упаковка и продвижение услуги, социальное предпринимательство, развитие добровольчества и пр.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3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Программа и методические материалы семинаров в доступе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обсуждения для заинтересованных сторон о возможных изменениях в муниципальных программах по передаче некоторых мероприятий (услуг) вместе с финансированием на реализацию СО НКО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23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группы, Ресурсный центр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Проекты изменений в муниципальных программах </w:t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внесение изменений в муниципальные программы: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части передачи некоторых мероприятий (услуг, работ) вместе с финансированием на реализацию СО НКО;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части проведения муниципальных конкурсов субсидий для СОНКО;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части проведения конкурсов имущественной поддержки СОНКО, 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рабочей группы, администрация 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Нормативные</w:t>
            </w:r>
          </w:p>
          <w:p>
            <w:pPr>
              <w:pStyle w:val="Style131"/>
              <w:spacing w:lineRule="auto" w:line="240" w:before="0" w:after="20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правовые акты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70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и принятие муниципальной программы поддержки СОНКО.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группы, администрация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Нормативный правовой акт </w:t>
            </w:r>
          </w:p>
        </w:tc>
      </w:tr>
    </w:tbl>
    <w:p>
      <w:pPr>
        <w:pStyle w:val="Normal"/>
        <w:spacing w:lineRule="auto" w:line="240" w:before="0" w:after="0"/>
        <w:ind w:left="7655" w:hanging="0"/>
        <w:jc w:val="righ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1418" w:right="395" w:header="34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2"/>
        <w:rPr/>
      </w:pPr>
      <w:r>
        <w:rPr>
          <w:rStyle w:val="Style1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 НКО - социально ориентированные некоммерческие организации</w:t>
      </w:r>
    </w:p>
  </w:footnote>
  <w:footnote w:id="3">
    <w:p>
      <w:pPr>
        <w:pStyle w:val="Style22"/>
        <w:rPr/>
      </w:pPr>
      <w:r>
        <w:rPr>
          <w:rStyle w:val="Style1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МБУ – муниципальное бюджетное учреждение</w:t>
      </w:r>
    </w:p>
  </w:footnote>
  <w:footnote w:id="4">
    <w:p>
      <w:pPr>
        <w:pStyle w:val="Style22"/>
        <w:rPr/>
      </w:pPr>
      <w:r>
        <w:rPr>
          <w:rStyle w:val="Style12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ascii="Times New Roman" w:hAnsi="Times New Roman"/>
        </w:rPr>
        <w:t>Ресурсный центр – ресурсный центр поддержки общественных инициатив города Шарыпово</w:t>
      </w:r>
    </w:p>
  </w:footnote>
  <w:footnote w:id="5">
    <w:p>
      <w:pPr>
        <w:pStyle w:val="Style22"/>
        <w:rPr/>
      </w:pPr>
      <w:r>
        <w:rPr>
          <w:rStyle w:val="Style1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 - муниципальное образование</w:t>
      </w:r>
    </w:p>
  </w:footnote>
  <w:footnote w:id="6">
    <w:p>
      <w:pPr>
        <w:pStyle w:val="Style22"/>
        <w:rPr/>
      </w:pPr>
      <w:r>
        <w:rPr>
          <w:rStyle w:val="Style12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ascii="Times New Roman" w:hAnsi="Times New Roman"/>
        </w:rPr>
        <w:t>ИОПУ – исполнителей общественно полезных услуг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Цель %1."/>
      <w:lvlJc w:val="left"/>
      <w:pPr>
        <w:ind w:left="0" w:hanging="0"/>
      </w:pPr>
      <w:rPr>
        <w:rFonts w:cs="Times New Roman"/>
      </w:rPr>
    </w:lvl>
    <w:lvl w:ilvl="1">
      <w:start w:val="1"/>
      <w:pStyle w:val="2"/>
      <w:numFmt w:val="decimal"/>
      <w:lvlText w:val="Направление %1.%2"/>
      <w:lvlJc w:val="left"/>
      <w:pPr>
        <w:ind w:left="0" w:hanging="0"/>
      </w:pPr>
      <w:rPr>
        <w:rFonts w:cs="Times New Roman"/>
      </w:rPr>
    </w:lvl>
    <w:lvl w:ilvl="2">
      <w:start w:val="1"/>
      <w:pStyle w:val="3"/>
      <w:numFmt w:val="decimal"/>
      <w:lvlText w:val="Ключевое событие %1.%2.%3"/>
      <w:lvlJc w:val="left"/>
      <w:pPr>
        <w:ind w:left="720" w:hanging="432"/>
      </w:pPr>
      <w:rPr>
        <w:rFonts w:cs="Times New Roman"/>
      </w:rPr>
    </w:lvl>
    <w:lvl w:ilvl="3">
      <w:start w:val="1"/>
      <w:pStyle w:val="4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pStyle w:val="5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pStyle w:val="6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pStyle w:val="7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pStyle w:val="8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pStyle w:val="9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72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9"/>
    <w:qFormat/>
    <w:locked/>
    <w:rsid w:val="00e042fe"/>
    <w:pPr>
      <w:keepNext w:val="true"/>
      <w:numPr>
        <w:ilvl w:val="0"/>
        <w:numId w:val="1"/>
      </w:numPr>
      <w:spacing w:lineRule="auto" w:line="240" w:before="240" w:after="60"/>
      <w:outlineLvl w:val="0"/>
    </w:pPr>
    <w:rPr>
      <w:rFonts w:ascii="Cambria" w:hAnsi="Cambria" w:eastAsia="Times New Roman"/>
      <w:b/>
      <w:kern w:val="2"/>
      <w:sz w:val="32"/>
      <w:szCs w:val="20"/>
      <w:lang w:eastAsia="ru-RU"/>
    </w:rPr>
  </w:style>
  <w:style w:type="paragraph" w:styleId="2">
    <w:name w:val="Heading 2"/>
    <w:basedOn w:val="Normal"/>
    <w:link w:val="20"/>
    <w:uiPriority w:val="99"/>
    <w:qFormat/>
    <w:locked/>
    <w:rsid w:val="00e042fe"/>
    <w:pPr>
      <w:keepNext w:val="true"/>
      <w:numPr>
        <w:ilvl w:val="1"/>
        <w:numId w:val="1"/>
      </w:numPr>
      <w:spacing w:lineRule="auto" w:line="240"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link w:val="30"/>
    <w:uiPriority w:val="99"/>
    <w:qFormat/>
    <w:locked/>
    <w:rsid w:val="00e042fe"/>
    <w:pPr>
      <w:keepNext w:val="true"/>
      <w:numPr>
        <w:ilvl w:val="2"/>
        <w:numId w:val="1"/>
      </w:numPr>
      <w:spacing w:lineRule="auto" w:line="240" w:before="240" w:after="60"/>
      <w:outlineLvl w:val="2"/>
    </w:pPr>
    <w:rPr>
      <w:rFonts w:ascii="Cambria" w:hAnsi="Cambria" w:eastAsia="Times New Roman"/>
      <w:b/>
      <w:sz w:val="26"/>
      <w:szCs w:val="20"/>
      <w:lang w:eastAsia="ru-RU"/>
    </w:rPr>
  </w:style>
  <w:style w:type="paragraph" w:styleId="4">
    <w:name w:val="Heading 4"/>
    <w:basedOn w:val="Normal"/>
    <w:link w:val="40"/>
    <w:uiPriority w:val="99"/>
    <w:qFormat/>
    <w:locked/>
    <w:rsid w:val="00e042fe"/>
    <w:pPr>
      <w:keepNext w:val="true"/>
      <w:numPr>
        <w:ilvl w:val="3"/>
        <w:numId w:val="1"/>
      </w:numPr>
      <w:spacing w:lineRule="auto" w:line="240"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Normal"/>
    <w:link w:val="50"/>
    <w:uiPriority w:val="99"/>
    <w:qFormat/>
    <w:locked/>
    <w:rsid w:val="00e042fe"/>
    <w:pPr>
      <w:numPr>
        <w:ilvl w:val="4"/>
        <w:numId w:val="1"/>
      </w:numPr>
      <w:spacing w:lineRule="auto" w:line="240"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Normal"/>
    <w:link w:val="60"/>
    <w:uiPriority w:val="99"/>
    <w:qFormat/>
    <w:locked/>
    <w:rsid w:val="00e042fe"/>
    <w:pPr>
      <w:numPr>
        <w:ilvl w:val="5"/>
        <w:numId w:val="1"/>
      </w:numPr>
      <w:spacing w:lineRule="auto" w:line="240" w:before="240" w:after="6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Normal"/>
    <w:link w:val="70"/>
    <w:uiPriority w:val="99"/>
    <w:qFormat/>
    <w:locked/>
    <w:rsid w:val="00e042fe"/>
    <w:pPr>
      <w:numPr>
        <w:ilvl w:val="6"/>
        <w:numId w:val="1"/>
      </w:numPr>
      <w:spacing w:lineRule="auto" w:line="240" w:before="240" w:after="60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Normal"/>
    <w:link w:val="80"/>
    <w:uiPriority w:val="99"/>
    <w:qFormat/>
    <w:locked/>
    <w:rsid w:val="00e042fe"/>
    <w:pPr>
      <w:numPr>
        <w:ilvl w:val="7"/>
        <w:numId w:val="1"/>
      </w:numPr>
      <w:spacing w:lineRule="auto" w:line="240"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Normal"/>
    <w:link w:val="90"/>
    <w:uiPriority w:val="99"/>
    <w:qFormat/>
    <w:locked/>
    <w:rsid w:val="00e042fe"/>
    <w:pPr>
      <w:numPr>
        <w:ilvl w:val="8"/>
        <w:numId w:val="1"/>
      </w:numPr>
      <w:spacing w:lineRule="auto" w:line="240" w:before="240" w:after="60"/>
      <w:outlineLvl w:val="8"/>
    </w:pPr>
    <w:rPr>
      <w:rFonts w:ascii="Cambria" w:hAnsi="Cambria" w:eastAsia="Times New Roman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a4"/>
    <w:uiPriority w:val="99"/>
    <w:semiHidden/>
    <w:qFormat/>
    <w:locked/>
    <w:rsid w:val="00ed29fe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qFormat/>
    <w:rsid w:val="00ed29fe"/>
    <w:rPr>
      <w:rFonts w:cs="Times New Roman"/>
      <w:sz w:val="16"/>
      <w:szCs w:val="16"/>
    </w:rPr>
  </w:style>
  <w:style w:type="character" w:styleId="Style6" w:customStyle="1">
    <w:name w:val="Текст примечания Знак"/>
    <w:basedOn w:val="DefaultParagraphFont"/>
    <w:link w:val="a7"/>
    <w:uiPriority w:val="99"/>
    <w:qFormat/>
    <w:locked/>
    <w:rsid w:val="00ed29fe"/>
    <w:rPr>
      <w:rFonts w:ascii="Calibri" w:hAnsi="Calibri" w:cs="Times New Roman"/>
      <w:sz w:val="20"/>
      <w:szCs w:val="20"/>
    </w:rPr>
  </w:style>
  <w:style w:type="character" w:styleId="Style7" w:customStyle="1">
    <w:name w:val="Тема примечания Знак"/>
    <w:basedOn w:val="Style6"/>
    <w:link w:val="a9"/>
    <w:uiPriority w:val="99"/>
    <w:semiHidden/>
    <w:qFormat/>
    <w:locked/>
    <w:rsid w:val="00ed29fe"/>
    <w:rPr>
      <w:rFonts w:ascii="Calibri" w:hAnsi="Calibri" w:cs="Times New Roman"/>
      <w:b/>
      <w:bCs/>
      <w:sz w:val="20"/>
      <w:szCs w:val="20"/>
    </w:rPr>
  </w:style>
  <w:style w:type="character" w:styleId="Style8" w:customStyle="1">
    <w:name w:val="Верхний колонтитул Знак"/>
    <w:basedOn w:val="DefaultParagraphFont"/>
    <w:link w:val="ab"/>
    <w:uiPriority w:val="99"/>
    <w:qFormat/>
    <w:locked/>
    <w:rsid w:val="009a1272"/>
    <w:rPr>
      <w:rFonts w:ascii="Calibri" w:hAnsi="Calibri" w:cs="Times New Roman"/>
    </w:rPr>
  </w:style>
  <w:style w:type="character" w:styleId="Style9" w:customStyle="1">
    <w:name w:val="Нижний колонтитул Знак"/>
    <w:basedOn w:val="DefaultParagraphFont"/>
    <w:link w:val="ad"/>
    <w:uiPriority w:val="99"/>
    <w:qFormat/>
    <w:locked/>
    <w:rsid w:val="009a1272"/>
    <w:rPr>
      <w:rFonts w:ascii="Calibri" w:hAnsi="Calibri" w:cs="Times New Roman"/>
    </w:rPr>
  </w:style>
  <w:style w:type="character" w:styleId="FontStyle70" w:customStyle="1">
    <w:name w:val="Font Style70"/>
    <w:uiPriority w:val="99"/>
    <w:qFormat/>
    <w:rsid w:val="006d764c"/>
    <w:rPr>
      <w:rFonts w:ascii="Times New Roman" w:hAnsi="Times New Roman"/>
      <w:sz w:val="24"/>
    </w:rPr>
  </w:style>
  <w:style w:type="character" w:styleId="CharStyle27" w:customStyle="1">
    <w:name w:val="Char Style 27"/>
    <w:uiPriority w:val="99"/>
    <w:qFormat/>
    <w:rsid w:val="000f1292"/>
    <w:rPr>
      <w:rFonts w:cs="Times New Roman"/>
      <w:sz w:val="24"/>
      <w:szCs w:val="24"/>
      <w:shd w:fill="FFFFFF" w:val="clear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e042fe"/>
    <w:rPr>
      <w:rFonts w:ascii="Cambria" w:hAnsi="Cambria" w:eastAsia="Times New Roman"/>
      <w:b/>
      <w:kern w:val="2"/>
      <w:sz w:val="32"/>
      <w:szCs w:val="20"/>
    </w:rPr>
  </w:style>
  <w:style w:type="character" w:styleId="21" w:customStyle="1">
    <w:name w:val="Заголовок 2 Знак"/>
    <w:basedOn w:val="DefaultParagraphFont"/>
    <w:link w:val="2"/>
    <w:uiPriority w:val="99"/>
    <w:qFormat/>
    <w:rsid w:val="00e042fe"/>
    <w:rPr>
      <w:rFonts w:ascii="Cambria" w:hAnsi="Cambria" w:eastAsia="Times New Roman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9"/>
    <w:qFormat/>
    <w:rsid w:val="00e042fe"/>
    <w:rPr>
      <w:rFonts w:ascii="Cambria" w:hAnsi="Cambria" w:eastAsia="Times New Roman"/>
      <w:b/>
      <w:sz w:val="26"/>
      <w:szCs w:val="20"/>
    </w:rPr>
  </w:style>
  <w:style w:type="character" w:styleId="41" w:customStyle="1">
    <w:name w:val="Заголовок 4 Знак"/>
    <w:basedOn w:val="DefaultParagraphFont"/>
    <w:link w:val="4"/>
    <w:uiPriority w:val="99"/>
    <w:qFormat/>
    <w:rsid w:val="00e042fe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e042fe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6"/>
    <w:uiPriority w:val="99"/>
    <w:qFormat/>
    <w:rsid w:val="00e042fe"/>
    <w:rPr>
      <w:rFonts w:eastAsia="Times New Roman"/>
      <w:b/>
      <w:bCs/>
    </w:rPr>
  </w:style>
  <w:style w:type="character" w:styleId="71" w:customStyle="1">
    <w:name w:val="Заголовок 7 Знак"/>
    <w:basedOn w:val="DefaultParagraphFont"/>
    <w:link w:val="7"/>
    <w:uiPriority w:val="99"/>
    <w:qFormat/>
    <w:rsid w:val="00e042fe"/>
    <w:rPr>
      <w:rFonts w:eastAsia="Times New Roman"/>
      <w:sz w:val="24"/>
      <w:szCs w:val="24"/>
    </w:rPr>
  </w:style>
  <w:style w:type="character" w:styleId="81" w:customStyle="1">
    <w:name w:val="Заголовок 8 Знак"/>
    <w:basedOn w:val="DefaultParagraphFont"/>
    <w:link w:val="8"/>
    <w:uiPriority w:val="99"/>
    <w:qFormat/>
    <w:rsid w:val="00e042fe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9"/>
    <w:uiPriority w:val="99"/>
    <w:qFormat/>
    <w:rsid w:val="00e042fe"/>
    <w:rPr>
      <w:rFonts w:ascii="Cambria" w:hAnsi="Cambria" w:eastAsia="Times New Roman"/>
    </w:rPr>
  </w:style>
  <w:style w:type="character" w:styleId="FontStyle31" w:customStyle="1">
    <w:name w:val="Font Style31"/>
    <w:basedOn w:val="DefaultParagraphFont"/>
    <w:uiPriority w:val="99"/>
    <w:qFormat/>
    <w:rsid w:val="004c3098"/>
    <w:rPr>
      <w:rFonts w:ascii="Times New Roman" w:hAnsi="Times New Roman" w:cs="Times New Roman"/>
      <w:sz w:val="22"/>
      <w:szCs w:val="22"/>
    </w:rPr>
  </w:style>
  <w:style w:type="character" w:styleId="FontStyle20" w:customStyle="1">
    <w:name w:val="Font Style20"/>
    <w:uiPriority w:val="99"/>
    <w:qFormat/>
    <w:rsid w:val="00541f14"/>
    <w:rPr>
      <w:rFonts w:ascii="Times New Roman" w:hAnsi="Times New Roman" w:cs="Times New Roman"/>
      <w:sz w:val="26"/>
      <w:szCs w:val="26"/>
    </w:rPr>
  </w:style>
  <w:style w:type="character" w:styleId="Style10" w:customStyle="1">
    <w:name w:val="Текст сноски Знак"/>
    <w:basedOn w:val="DefaultParagraphFont"/>
    <w:link w:val="af1"/>
    <w:uiPriority w:val="99"/>
    <w:semiHidden/>
    <w:qFormat/>
    <w:rsid w:val="007178a6"/>
    <w:rPr>
      <w:sz w:val="20"/>
      <w:szCs w:val="20"/>
      <w:lang w:eastAsia="en-US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178a6"/>
    <w:rPr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  <w:b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  <w:b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eastAsia="Times New Roman"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Courier New"/>
    </w:rPr>
  </w:style>
  <w:style w:type="character" w:styleId="Style12">
    <w:name w:val="Символ сноски"/>
    <w:qFormat/>
    <w:rPr/>
  </w:style>
  <w:style w:type="character" w:styleId="Style13">
    <w:name w:val="Привязка концевой сноски"/>
    <w:rPr>
      <w:vertAlign w:val="superscript"/>
    </w:rPr>
  </w:style>
  <w:style w:type="character" w:styleId="Style14">
    <w:name w:val="Символ концевой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uiPriority w:val="99"/>
    <w:qFormat/>
    <w:rsid w:val="00d1726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f72c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qFormat/>
    <w:rsid w:val="00ed29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8"/>
    <w:uiPriority w:val="99"/>
    <w:qFormat/>
    <w:rsid w:val="00ed29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a"/>
    <w:uiPriority w:val="99"/>
    <w:semiHidden/>
    <w:qFormat/>
    <w:rsid w:val="00ed29fe"/>
    <w:pPr/>
    <w:rPr>
      <w:b/>
      <w:bCs/>
    </w:rPr>
  </w:style>
  <w:style w:type="paragraph" w:styleId="Style20">
    <w:name w:val="Header"/>
    <w:basedOn w:val="Normal"/>
    <w:link w:val="ac"/>
    <w:uiPriority w:val="99"/>
    <w:rsid w:val="009a127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e"/>
    <w:uiPriority w:val="99"/>
    <w:rsid w:val="009a127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9" w:customStyle="1">
    <w:name w:val="Style49"/>
    <w:basedOn w:val="Normal"/>
    <w:uiPriority w:val="99"/>
    <w:qFormat/>
    <w:rsid w:val="00e57cf8"/>
    <w:pPr>
      <w:widowControl w:val="false"/>
      <w:spacing w:lineRule="exact" w:line="269" w:before="0" w:after="0"/>
      <w:jc w:val="center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Default" w:customStyle="1">
    <w:name w:val="Default"/>
    <w:qFormat/>
    <w:rsid w:val="009c2ccf"/>
    <w:pPr>
      <w:widowControl/>
      <w:bidi w:val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eastAsia="en-US" w:val="ru-RU" w:bidi="ar-SA"/>
    </w:rPr>
  </w:style>
  <w:style w:type="paragraph" w:styleId="Style131" w:customStyle="1">
    <w:name w:val="Style13"/>
    <w:basedOn w:val="Normal"/>
    <w:uiPriority w:val="99"/>
    <w:qFormat/>
    <w:rsid w:val="004c3098"/>
    <w:pPr>
      <w:widowControl w:val="false"/>
      <w:spacing w:lineRule="exact" w:line="278" w:before="0" w:after="0"/>
      <w:jc w:val="both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qFormat/>
    <w:rsid w:val="00541f1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>
    <w:name w:val="Footnote Text"/>
    <w:basedOn w:val="Normal"/>
    <w:link w:val="af2"/>
    <w:uiPriority w:val="99"/>
    <w:semiHidden/>
    <w:unhideWhenUsed/>
    <w:rsid w:val="007178a6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f125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8392-A8E2-4B14-9D0A-0D690836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LibreOffice/6.0.7.3$Linux_X86_64 LibreOffice_project/00m0$Build-3</Application>
  <Pages>4</Pages>
  <Words>1017</Words>
  <Characters>7259</Characters>
  <CharactersWithSpaces>8144</CharactersWithSpaces>
  <Paragraphs>165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2020-01-17T06:54:00Z</dcterms:created>
  <dc:creator>Сорванова Наталья Михайловна</dc:creator>
  <dc:description/>
  <dc:language>ru-RU</dc:language>
  <cp:lastModifiedBy/>
  <cp:lastPrinted>2018-07-02T04:10:00Z</cp:lastPrinted>
  <dcterms:modified xsi:type="dcterms:W3CDTF">2020-02-17T17:21:52Z</dcterms:modified>
  <cp:revision>15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