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99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78"/>
        <w:gridCol w:w="4216"/>
      </w:tblGrid>
      <w:tr>
        <w:trPr/>
        <w:tc>
          <w:tcPr>
            <w:tcW w:w="577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2 к муниципальной программе «Развитие физической культуры и спорта в городе Шарыпово», утвержденной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постановлением Администрации города Шарыпово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18.12.2019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279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постановлением Администрации города Шарыпово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04.10.2013 № 239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Прогноз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сводных показателей муниципальных заданий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71" w:type="dxa"/>
        <w:jc w:val="left"/>
        <w:tblInd w:w="-176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724"/>
        <w:gridCol w:w="2409"/>
        <w:gridCol w:w="1892"/>
        <w:gridCol w:w="1779"/>
        <w:gridCol w:w="1134"/>
        <w:gridCol w:w="1116"/>
        <w:gridCol w:w="1116"/>
      </w:tblGrid>
      <w:tr>
        <w:trPr>
          <w:trHeight w:val="749" w:hRule="atLeast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>
        <w:trPr>
          <w:trHeight w:val="390" w:hRule="atLeast"/>
        </w:trPr>
        <w:tc>
          <w:tcPr>
            <w:tcW w:w="7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2019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2020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2021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>
        <w:trPr>
          <w:trHeight w:val="1922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занятий (штука)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2112 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2112 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5256,53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3899,86</w:t>
            </w:r>
          </w:p>
        </w:tc>
      </w:tr>
      <w:tr>
        <w:trPr>
          <w:trHeight w:val="1932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3429,34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3312,85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договоров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38751,68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26803,85</w:t>
            </w:r>
          </w:p>
        </w:tc>
      </w:tr>
      <w:tr>
        <w:trPr>
          <w:trHeight w:val="3668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1.7.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 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656,39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630,00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7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694,42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609,02</w:t>
            </w:r>
          </w:p>
        </w:tc>
      </w:tr>
      <w:tr>
        <w:trPr>
          <w:trHeight w:val="213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>
        <w:trPr>
          <w:trHeight w:val="747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998,29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894,17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894,17</w:t>
            </w:r>
          </w:p>
        </w:tc>
      </w:tr>
      <w:tr>
        <w:trPr>
          <w:trHeight w:val="1922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3043,18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2079,41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2079,41</w:t>
            </w:r>
          </w:p>
        </w:tc>
      </w:tr>
      <w:tr>
        <w:trPr>
          <w:trHeight w:val="2824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спортивная борьба, этап совершенствования спортивного </w:t>
              </w:r>
            </w:hyperlink>
            <w:r>
              <w:rPr>
                <w:rFonts w:cs="Times New Roman" w:ascii="Times New Roman" w:hAnsi="Times New Roman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этапах спортивной подготовки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338,57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230,65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230,65</w:t>
            </w:r>
          </w:p>
        </w:tc>
      </w:tr>
      <w:tr>
        <w:trPr>
          <w:trHeight w:val="2292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спортивная борьба, этап высшего спортивного </w:t>
              </w:r>
            </w:hyperlink>
            <w:r>
              <w:rPr>
                <w:rFonts w:cs="Times New Roman" w:ascii="Times New Roman" w:hAnsi="Times New Roman"/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этапах спортивной подготовки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141,97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102,21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102,21</w:t>
            </w:r>
          </w:p>
        </w:tc>
      </w:tr>
      <w:tr>
        <w:trPr>
          <w:trHeight w:val="2433" w:hRule="atLeast"/>
        </w:trPr>
        <w:tc>
          <w:tcPr>
            <w:tcW w:w="72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790,56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706,77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706,77</w:t>
            </w:r>
          </w:p>
        </w:tc>
      </w:tr>
      <w:tr>
        <w:trPr>
          <w:trHeight w:val="41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2057,86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1391,49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1391,49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7.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cs="Times New Roman" w:ascii="Times New Roman" w:hAnsi="Times New Roman"/>
                </w:rPr>
                <w:t>кикбоксинг</w:t>
              </w:r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этапах спортивной подготовки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288,13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281,58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281,58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cs="Times New Roman" w:ascii="Times New Roman" w:hAnsi="Times New Roman"/>
                </w:rPr>
                <w:t>кикбоксинг</w:t>
              </w:r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, тренировочный этап 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этапах спортивной подготовки</w:t>
            </w:r>
            <w:r>
              <w:rPr/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613,13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606,58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606,58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Количество лиц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4083,94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3648,06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3648,06</w:t>
            </w:r>
          </w:p>
        </w:tc>
      </w:tr>
      <w:tr>
        <w:trPr>
          <w:trHeight w:val="806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157,02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152,09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152,09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Волейбол, </w:t>
            </w: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368,38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363,56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363,56</w:t>
            </w:r>
          </w:p>
        </w:tc>
      </w:tr>
      <w:tr>
        <w:trPr>
          <w:trHeight w:val="220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739,81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596,23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596,23</w:t>
            </w:r>
          </w:p>
        </w:tc>
      </w:tr>
      <w:tr>
        <w:trPr>
          <w:trHeight w:val="556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1089,05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888,95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888,95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cs="Times New Roman" w:ascii="Times New Roman" w:hAnsi="Times New Roman"/>
                </w:rPr>
                <w:t>Лыжные гонки</w:t>
              </w:r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313,42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222,66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222,66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299,79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221,11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221,11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cs="Times New Roman" w:ascii="Times New Roman" w:hAnsi="Times New Roman"/>
                </w:rPr>
                <w:t>Хоккей</w:t>
              </w:r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>
        <w:trPr>
          <w:trHeight w:val="41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224,99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220,17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220,17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Хоккей,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224,22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219,08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219,08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9.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163,00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158,18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158,18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502,42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439,95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439,95</w:t>
            </w:r>
          </w:p>
        </w:tc>
      </w:tr>
      <w:tr>
        <w:trPr>
          <w:trHeight w:val="556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>
        <w:trPr>
          <w:trHeight w:val="2218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hyperlink w:anchor="RANGE!Par1663">
              <w:r>
                <w:rPr>
                  <w:rStyle w:val="ListLabel1"/>
                  <w:rFonts w:eastAsia="Times New Roman" w:cs="Times New Roman" w:ascii="Times New Roman" w:hAnsi="Times New Roman"/>
                  <w:sz w:val="24"/>
                  <w:szCs w:val="24"/>
                  <w:lang w:eastAsia="ru-RU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817,52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717,31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717,31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лиц обучающихся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286</w:t>
            </w:r>
          </w:p>
        </w:tc>
      </w:tr>
      <w:tr>
        <w:trPr>
          <w:trHeight w:val="1545" w:hRule="atLeast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5784,72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3595,18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3595,18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СиМП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города Шарыпово                                                Л.А.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Когданина</w:t>
      </w:r>
    </w:p>
    <w:sectPr>
      <w:type w:val="nextPage"/>
      <w:pgSz w:w="11906" w:h="16838"/>
      <w:pgMar w:left="1418" w:right="709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6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7b4fa3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2">
    <w:name w:val="ListLabel 2"/>
    <w:qFormat/>
    <w:rPr>
      <w:rFonts w:ascii="Times New Roman" w:hAnsi="Times New Roman"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933fda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b4fa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84E2-54B5-432E-BB13-8AE3AD7D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Application>LibreOffice/6.0.7.3$Linux_X86_64 LibreOffice_project/00m0$Build-3</Application>
  <Pages>9</Pages>
  <Words>1277</Words>
  <Characters>8599</Characters>
  <CharactersWithSpaces>9670</CharactersWithSpaces>
  <Paragraphs>427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2013-08-06T05:19:00Z</dcterms:created>
  <dc:creator>verhoturova</dc:creator>
  <dc:description/>
  <dc:language>ru-RU</dc:language>
  <cp:lastModifiedBy/>
  <cp:lastPrinted>2019-12-06T09:02:00Z</cp:lastPrinted>
  <dcterms:modified xsi:type="dcterms:W3CDTF">2019-12-24T10:29:15Z</dcterms:modified>
  <cp:revision>250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