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4B53B1" w:rsidRPr="00526ACE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526ACE">
        <w:rPr>
          <w:sz w:val="28"/>
          <w:szCs w:val="28"/>
          <w:u w:val="single"/>
        </w:rPr>
        <w:t>04.10.2013   № 239</w:t>
      </w:r>
      <w:r w:rsidRPr="00526ACE">
        <w:rPr>
          <w:sz w:val="28"/>
          <w:szCs w:val="28"/>
          <w:u w:val="single"/>
        </w:rPr>
        <w:tab/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6ACE">
        <w:rPr>
          <w:b/>
          <w:bCs/>
          <w:sz w:val="28"/>
          <w:szCs w:val="28"/>
        </w:rPr>
        <w:t>МУНИЦИПАЛЬНАЯ ПРОГРАММА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526ACE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54525F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B53B1" w:rsidRPr="00526AC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муниципальной 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«Формирование здорового образа жизни через развитие массовой физической культуры и спорта» приведена в 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приложении № 5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приложением № 1 к паспорту муниципальной программы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1C4FBF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4F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507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 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697,58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68 586,05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56 187,03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88028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88028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8 274,23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2020 год – 3 739,60 тыс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424 000,32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55 561,25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2019 год - 54 271,82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54 271,82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27 5</w:t>
            </w:r>
            <w:r w:rsidR="00432FD4" w:rsidRPr="00432F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10,11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880286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6 040,00</w:t>
            </w: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526ACE" w:rsidRDefault="004B53B1" w:rsidP="00322ECA"/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54525F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B53B1" w:rsidRPr="00526ACE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526AC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526ACE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526ACE">
        <w:rPr>
          <w:rFonts w:ascii="Times New Roman" w:hAnsi="Times New Roman" w:cs="Times New Roman"/>
          <w:sz w:val="28"/>
          <w:szCs w:val="28"/>
        </w:rPr>
        <w:t>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526ACE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526ACE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школы, реализующие программы спортивной подготовки. Численность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детей, занимающихся в спортивных школах, на 1 января 2018 года составляла 1171 человека. </w:t>
      </w:r>
    </w:p>
    <w:p w:rsidR="004B53B1" w:rsidRPr="00526ACE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участие организаций, учреждений в краевых и федеральных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грантовых программах;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526ACE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526ACE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муниципальной программы, характеризующих целевое состояние (изменение состояния) уровня 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526ACE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526ACE">
        <w:rPr>
          <w:rFonts w:ascii="Times New Roman" w:hAnsi="Times New Roman" w:cs="Times New Roman"/>
          <w:sz w:val="28"/>
          <w:szCs w:val="28"/>
        </w:rPr>
        <w:t>;</w:t>
      </w:r>
      <w:r w:rsidRPr="00526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долгосрочного экономического развития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развитию спортивной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Именно с учетом этого целью деятельности органов управления физической культуры и спорта муниципального образования город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5.3.1.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526ACE">
        <w:rPr>
          <w:rFonts w:ascii="Times New Roman" w:hAnsi="Times New Roman" w:cs="Times New Roman"/>
          <w:sz w:val="28"/>
          <w:szCs w:val="28"/>
        </w:rPr>
        <w:tab/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(128 занимающихся).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мероприятия по повышению эффективности бюджетных расходов,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поддержки;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526ACE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6ACE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Sect="00674283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4B53B1" w:rsidRPr="009C1207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>от 03.10.2013 № 239</w:t>
      </w:r>
    </w:p>
    <w:p w:rsidR="004B53B1" w:rsidRPr="009C1207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9C1207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9C1207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925CC1" w:rsidRDefault="004B53B1" w:rsidP="004B53B1">
            <w:pPr>
              <w:jc w:val="center"/>
              <w:rPr>
                <w:sz w:val="27"/>
                <w:szCs w:val="27"/>
              </w:rPr>
            </w:pPr>
            <w:r w:rsidRPr="00925CC1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9C1207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9C1207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674283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5441AB" w:rsidRDefault="00432FD4" w:rsidP="00674283">
            <w:pPr>
              <w:rPr>
                <w:sz w:val="24"/>
                <w:szCs w:val="24"/>
              </w:rPr>
            </w:pPr>
          </w:p>
          <w:p w:rsidR="00674283" w:rsidRPr="00674283" w:rsidRDefault="00674283" w:rsidP="00674283">
            <w:pPr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674283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674283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674283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674283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674283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880286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6">
              <w:rPr>
                <w:b/>
                <w:bCs/>
                <w:sz w:val="24"/>
                <w:szCs w:val="24"/>
                <w:highlight w:val="yellow"/>
              </w:rPr>
              <w:t>68 586,05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0E26E5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74283">
              <w:rPr>
                <w:b/>
                <w:bCs/>
                <w:sz w:val="24"/>
                <w:szCs w:val="24"/>
              </w:rPr>
              <w:t>61 651,4</w:t>
            </w:r>
            <w:r w:rsidR="000E26E5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0E26E5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74283">
              <w:rPr>
                <w:b/>
                <w:bCs/>
                <w:sz w:val="24"/>
                <w:szCs w:val="24"/>
              </w:rPr>
              <w:t>61 651,4</w:t>
            </w:r>
            <w:r w:rsidR="000E26E5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0E26E5" w:rsidRDefault="00880286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0286">
              <w:rPr>
                <w:b/>
                <w:bCs/>
                <w:sz w:val="24"/>
                <w:szCs w:val="24"/>
                <w:highlight w:val="yellow"/>
              </w:rPr>
              <w:t>191 888,89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674283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880286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44 818,85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880286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123 682,01</w:t>
            </w:r>
          </w:p>
        </w:tc>
      </w:tr>
      <w:tr w:rsidR="00432FD4" w:rsidRPr="00674283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88028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6">
              <w:rPr>
                <w:b/>
                <w:bCs/>
                <w:sz w:val="24"/>
                <w:szCs w:val="24"/>
              </w:rPr>
              <w:t>10 601,84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88028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6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88028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6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88028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6">
              <w:rPr>
                <w:b/>
                <w:bCs/>
                <w:sz w:val="24"/>
                <w:szCs w:val="24"/>
              </w:rPr>
              <w:t>30 631,12</w:t>
            </w:r>
          </w:p>
        </w:tc>
      </w:tr>
      <w:tr w:rsidR="00432FD4" w:rsidRPr="00674283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880286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10 7</w:t>
            </w:r>
            <w:r w:rsidR="00432FD4" w:rsidRPr="00432FD4">
              <w:rPr>
                <w:b/>
                <w:bCs/>
                <w:sz w:val="24"/>
                <w:szCs w:val="24"/>
                <w:highlight w:val="yellow"/>
              </w:rPr>
              <w:t>34,67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880286" w:rsidP="00674283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30 283,69</w:t>
            </w:r>
          </w:p>
        </w:tc>
      </w:tr>
      <w:tr w:rsidR="00432FD4" w:rsidRPr="00674283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7 292,07</w:t>
            </w:r>
          </w:p>
        </w:tc>
      </w:tr>
    </w:tbl>
    <w:p w:rsidR="00651EF5" w:rsidRPr="009C1207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C646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  <w:r w:rsidRPr="004C646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C646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C646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4C646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C6466" w:rsidRPr="004C6466" w:rsidTr="004C6466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4C646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32FD4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68 586,05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32FD4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191 888,89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8 274,23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15 753,43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880286" w:rsidRDefault="00880286" w:rsidP="004C646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6 040,00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880286" w:rsidP="004C646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13 320,00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162 815,46</w:t>
            </w:r>
          </w:p>
        </w:tc>
      </w:tr>
      <w:tr w:rsidR="004C6466" w:rsidRPr="004C646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32FD4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44 818,85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32FD4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123 682,01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5 727,22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10 407,12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5 000,00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11 000,00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102 274,89</w:t>
            </w:r>
          </w:p>
        </w:tc>
      </w:tr>
      <w:tr w:rsidR="004C6466" w:rsidRPr="004C6466" w:rsidTr="004C6466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286">
              <w:rPr>
                <w:b/>
                <w:bCs/>
                <w:color w:val="000000"/>
                <w:sz w:val="24"/>
                <w:szCs w:val="24"/>
              </w:rPr>
              <w:t>10 601,84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28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28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0286">
              <w:rPr>
                <w:b/>
                <w:bCs/>
                <w:color w:val="000000"/>
                <w:sz w:val="24"/>
                <w:szCs w:val="24"/>
              </w:rPr>
              <w:t>30 631,12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1 303,30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2 735,50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27 775,62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DA7416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10 7</w:t>
            </w:r>
            <w:r w:rsidR="00DA7416" w:rsidRPr="00DA7416">
              <w:rPr>
                <w:b/>
                <w:bCs/>
                <w:color w:val="000000"/>
                <w:sz w:val="24"/>
                <w:szCs w:val="24"/>
                <w:highlight w:val="yellow"/>
              </w:rPr>
              <w:t>34,67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DA7416" w:rsidRDefault="00880286" w:rsidP="004C6466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30 283,69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1 243,71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880286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</w:rPr>
              <w:t>2 610,81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88028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880286">
              <w:rPr>
                <w:color w:val="000000"/>
                <w:sz w:val="24"/>
                <w:szCs w:val="24"/>
                <w:highlight w:val="yellow"/>
              </w:rPr>
              <w:t>2 200,00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25 472,88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7 292,07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7 292,07</w:t>
            </w:r>
          </w:p>
        </w:tc>
      </w:tr>
    </w:tbl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Default="004C6466" w:rsidP="004B53B1">
      <w:pPr>
        <w:rPr>
          <w:szCs w:val="24"/>
        </w:rPr>
        <w:sectPr w:rsidR="004C646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8A4295" w:rsidTr="00E6150A">
        <w:tc>
          <w:tcPr>
            <w:tcW w:w="5778" w:type="dxa"/>
          </w:tcPr>
          <w:p w:rsidR="004C6466" w:rsidRPr="008D3450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8A4295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8A4295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2112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88028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  <w:highlight w:val="yellow"/>
              </w:rPr>
              <w:t>4353,17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1.3.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88028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  <w:highlight w:val="yellow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 3. Обеспечение </w:t>
            </w:r>
            <w:r w:rsidRPr="00902934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договоров </w:t>
            </w:r>
            <w:r w:rsidRPr="00902934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88028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29623,76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</w:tr>
      <w:tr w:rsidR="004C6466" w:rsidRPr="00902934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1.7.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88028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703,17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88028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649,91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</w:tr>
      <w:tr w:rsidR="004C6466" w:rsidRPr="00902934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</w:tr>
      <w:tr w:rsidR="004C6466" w:rsidRPr="0090293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1450,91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1664,34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</w:tr>
      <w:tr w:rsidR="004C6466" w:rsidRPr="0090293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279,25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</w:tr>
      <w:tr w:rsidR="004C6466" w:rsidRPr="0090293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90293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269,26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</w:tr>
      <w:tr w:rsidR="004C6466" w:rsidRPr="0090293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1106,06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</w:tr>
      <w:tr w:rsidR="004C6466" w:rsidRPr="0090293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1315,27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бокс</w:t>
              </w:r>
              <w:r w:rsidR="004C6466" w:rsidRPr="0090293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лиц  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88028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  <w:highlight w:val="yellow"/>
              </w:rPr>
              <w:t>4165,60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</w:tr>
      <w:tr w:rsidR="004C6466" w:rsidRPr="0090293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750,13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</w:tr>
      <w:tr w:rsidR="004C6466" w:rsidRPr="0090293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90293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809,37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290,35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</w:tr>
      <w:tr w:rsidR="004C6466" w:rsidRPr="0090293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575,13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598,82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Лыжные гонки</w:t>
              </w:r>
              <w:r w:rsidR="004C6466" w:rsidRPr="0090293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54525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30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438,90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лиц обучающихся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6039,72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</w:tr>
    </w:tbl>
    <w:p w:rsidR="004C6466" w:rsidRPr="0090293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Default="004C6466" w:rsidP="004B53B1">
      <w:pPr>
        <w:rPr>
          <w:szCs w:val="24"/>
        </w:rPr>
      </w:pPr>
    </w:p>
    <w:p w:rsidR="00160FB9" w:rsidRDefault="00160FB9" w:rsidP="004B53B1">
      <w:pPr>
        <w:rPr>
          <w:szCs w:val="24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584131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>от 04.10.2013 № 239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131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1. Паспорт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131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2014 - 2021 годы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1C4FBF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1C4FBF">
              <w:rPr>
                <w:sz w:val="28"/>
                <w:szCs w:val="28"/>
                <w:highlight w:val="yellow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880286" w:rsidRPr="008802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325 535,54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880286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0D4352" w:rsidRPr="000D4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44 818,85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DA7416" w:rsidRPr="00880286">
              <w:rPr>
                <w:rFonts w:ascii="Times New Roman" w:hAnsi="Times New Roman" w:cs="Times New Roman"/>
                <w:sz w:val="28"/>
                <w:szCs w:val="28"/>
              </w:rPr>
              <w:t>37 808,03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880286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88028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A7416" w:rsidRPr="00880286">
              <w:rPr>
                <w:rFonts w:ascii="Times New Roman" w:hAnsi="Times New Roman" w:cs="Times New Roman"/>
                <w:sz w:val="28"/>
                <w:szCs w:val="28"/>
              </w:rPr>
              <w:t>5 727,22</w:t>
            </w: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286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DA7416" w:rsidRPr="000D4352">
              <w:rPr>
                <w:rFonts w:ascii="Times New Roman" w:hAnsi="Times New Roman" w:cs="Times New Roman"/>
                <w:sz w:val="28"/>
                <w:szCs w:val="28"/>
              </w:rPr>
              <w:t>263 227,51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0D4352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0D4352" w:rsidRPr="000D4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24 500,00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0D4352" w:rsidRPr="000D4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5 000,00</w:t>
            </w: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2019 год – 3 000,00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584131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4131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2. Мероприятия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 Механизм реализации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584131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1" w:history="1">
        <w:r w:rsidRPr="00584131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584131">
        <w:rPr>
          <w:sz w:val="28"/>
          <w:szCs w:val="28"/>
          <w:lang w:eastAsia="ar-SA"/>
        </w:rPr>
        <w:t>«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584131">
        <w:rPr>
          <w:sz w:val="28"/>
          <w:szCs w:val="28"/>
          <w:lang w:eastAsia="ar-SA"/>
        </w:rPr>
        <w:t>».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584131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4131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ее выполнения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777D8C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777D8C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777D8C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777D8C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  <w:highlight w:val="yellow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777D8C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352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960E5F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60E5F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960E5F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960E5F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960E5F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960E5F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12</w:t>
            </w:r>
          </w:p>
        </w:tc>
      </w:tr>
      <w:tr w:rsidR="00960E5F" w:rsidRPr="00960E5F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0D4352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0D4352">
              <w:rPr>
                <w:b/>
                <w:bCs/>
                <w:sz w:val="24"/>
                <w:szCs w:val="24"/>
                <w:highlight w:val="yellow"/>
              </w:rPr>
              <w:t>44 818,85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0D4352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0D4352">
              <w:rPr>
                <w:b/>
                <w:bCs/>
                <w:sz w:val="24"/>
                <w:szCs w:val="24"/>
                <w:highlight w:val="yellow"/>
              </w:rPr>
              <w:t>123 682,01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Ц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960E5F">
              <w:rPr>
                <w:b/>
                <w:bCs/>
                <w:sz w:val="24"/>
                <w:szCs w:val="24"/>
              </w:rPr>
              <w:t>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960E5F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960E5F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960E5F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9165,15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10744,18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50054,76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C43A22">
            <w:pPr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8376D7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39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C43A22">
            <w:pPr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9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960E5F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C43A22">
              <w:rPr>
                <w:sz w:val="24"/>
                <w:szCs w:val="24"/>
              </w:rPr>
              <w:t>6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43A22">
              <w:rPr>
                <w:sz w:val="24"/>
                <w:szCs w:val="24"/>
              </w:rPr>
              <w:t>7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960E5F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C43A22">
              <w:rPr>
                <w:sz w:val="24"/>
                <w:szCs w:val="24"/>
              </w:rPr>
              <w:t>18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540B0">
              <w:rPr>
                <w:sz w:val="24"/>
                <w:szCs w:val="24"/>
              </w:rPr>
              <w:t>19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0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1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2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3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DE5462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1.2</w:t>
            </w:r>
            <w:r w:rsidR="009540B0" w:rsidRPr="000D4352">
              <w:rPr>
                <w:sz w:val="24"/>
                <w:szCs w:val="24"/>
                <w:highlight w:val="yellow"/>
              </w:rPr>
              <w:t>4</w:t>
            </w:r>
            <w:r w:rsidR="00960E5F" w:rsidRPr="000D4352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0D4352" w:rsidP="00960E5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0D4352" w:rsidP="00960E5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  <w:highlight w:val="yellow"/>
              </w:rPr>
            </w:pPr>
            <w:r w:rsidRPr="000D4352">
              <w:rPr>
                <w:sz w:val="24"/>
                <w:szCs w:val="24"/>
                <w:highlight w:val="yellow"/>
              </w:rPr>
              <w:t> </w:t>
            </w: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1.25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9540B0">
            <w:pPr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0D4352">
              <w:rPr>
                <w:sz w:val="24"/>
                <w:szCs w:val="24"/>
              </w:rPr>
              <w:t>и</w:t>
            </w:r>
            <w:r w:rsidR="00BE3E55" w:rsidRPr="000D4352">
              <w:rPr>
                <w:sz w:val="24"/>
                <w:szCs w:val="24"/>
              </w:rPr>
              <w:t>мального размера оплаты труда),</w:t>
            </w:r>
            <w:r w:rsidR="009540B0" w:rsidRPr="000D4352">
              <w:rPr>
                <w:sz w:val="24"/>
                <w:szCs w:val="24"/>
              </w:rPr>
              <w:t>(</w:t>
            </w:r>
            <w:r w:rsidRPr="000D435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1.26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9540B0">
            <w:pPr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9540B0" w:rsidRPr="000D4352">
              <w:rPr>
                <w:sz w:val="24"/>
                <w:szCs w:val="24"/>
              </w:rPr>
              <w:t>труда),(</w:t>
            </w:r>
            <w:r w:rsidRPr="000D435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Default="00960E5F" w:rsidP="004B53B1">
      <w:pPr>
        <w:rPr>
          <w:szCs w:val="24"/>
        </w:rPr>
        <w:sectPr w:rsidR="00960E5F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EE783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>от 04.10.2013 № 239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ПОДПРОГРАММА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1. Паспорт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2014 - 2021 годы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82 843,34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10 601,84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960E5F" w:rsidRPr="000D4352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9 038,32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1 303,30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73 396,90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2019 год – 9 258,54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0D435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>2021 год – 9 258,54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61,10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A58AF" w:rsidRPr="000D4352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0D435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960E5F" w:rsidRPr="00EE783B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3B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EE783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2020 год – 40,00 тыс. рублей;</w:t>
            </w:r>
          </w:p>
          <w:p w:rsidR="00960E5F" w:rsidRPr="00EE783B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2" w:history="1">
        <w:r w:rsidRPr="00EE783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EE783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EE783B" w:rsidRDefault="00960E5F" w:rsidP="00960E5F">
      <w:pPr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ее выполнения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960E5F" w:rsidRPr="00EE783B" w:rsidRDefault="00960E5F" w:rsidP="00960E5F">
      <w:pPr>
        <w:jc w:val="both"/>
        <w:rPr>
          <w:sz w:val="28"/>
          <w:szCs w:val="28"/>
          <w:lang w:eastAsia="ar-SA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67756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67756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07899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07899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C07899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Доля занимающихся в СШОР, перешедших на очередной </w:t>
            </w:r>
            <w:r w:rsidR="000D4352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82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Доля занимающихся </w:t>
            </w:r>
            <w:r w:rsidR="000D4352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0D4352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  <w:r w:rsidR="00C07899"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  <w:tr w:rsidR="000D4352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C07899" w:rsidRDefault="000D4352" w:rsidP="00234E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0D4352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Доля занимающихся СШОР,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имеющих спортивные разряды, от общего числа занимающихся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 исключением групп НП-1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07899" w:rsidRDefault="000D4352" w:rsidP="00234E15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07899" w:rsidRDefault="000D4352" w:rsidP="00234E15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0D4352" w:rsidRDefault="000D4352" w:rsidP="00234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0D4352" w:rsidRDefault="000D4352" w:rsidP="00234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0D4352" w:rsidRDefault="000D4352" w:rsidP="00234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0D4352" w:rsidRDefault="000D4352" w:rsidP="00234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51</w:t>
            </w:r>
            <w:r w:rsidRPr="000D43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,00</w:t>
            </w:r>
          </w:p>
        </w:tc>
      </w:tr>
    </w:tbl>
    <w:p w:rsidR="00887BDA" w:rsidRDefault="00887BDA" w:rsidP="004B53B1">
      <w:pPr>
        <w:rPr>
          <w:szCs w:val="24"/>
        </w:rPr>
        <w:sectPr w:rsidR="00887BDA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887BDA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887BDA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887BDA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887BDA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887BDA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10EA9" w:rsidRDefault="00B02CD6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0EA9">
              <w:rPr>
                <w:b/>
                <w:bCs/>
                <w:color w:val="000000"/>
                <w:sz w:val="24"/>
                <w:szCs w:val="24"/>
              </w:rPr>
              <w:t>10 601,84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10EA9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0EA9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10EA9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0EA9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10EA9" w:rsidRDefault="00B02CD6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0EA9">
              <w:rPr>
                <w:b/>
                <w:bCs/>
                <w:color w:val="000000"/>
                <w:sz w:val="24"/>
                <w:szCs w:val="24"/>
              </w:rPr>
              <w:t>30 631,12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887BDA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887BDA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710EA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  <w:highlight w:val="yellow"/>
              </w:rPr>
              <w:t>8 324,01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710EA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  <w:highlight w:val="yellow"/>
              </w:rPr>
              <w:t>25 129,95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887BDA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3E0D05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0306" w:rsidP="001C0306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A58AF" w:rsidRDefault="00B02CD6" w:rsidP="008376D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02CD6" w:rsidRPr="00887BDA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887BDA" w:rsidTr="00710EA9">
        <w:trPr>
          <w:trHeight w:val="21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710EA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66189D">
            <w:pPr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66189D" w:rsidRPr="00710EA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411,20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</w:tc>
      </w:tr>
      <w:tr w:rsidR="00B02CD6" w:rsidRPr="00887BDA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  <w:r w:rsidRPr="00887BDA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BD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B02CD6" w:rsidRPr="00887BDA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1.9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1.11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710EA9">
              <w:rPr>
                <w:color w:val="000000"/>
                <w:sz w:val="24"/>
                <w:szCs w:val="24"/>
              </w:rPr>
              <w:t>1</w:t>
            </w:r>
            <w:r w:rsidRPr="00710E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66189D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66189D" w:rsidRPr="00710EA9">
              <w:rPr>
                <w:sz w:val="24"/>
                <w:szCs w:val="24"/>
              </w:rPr>
              <w:t xml:space="preserve">, </w:t>
            </w:r>
            <w:r w:rsidRPr="00710EA9">
              <w:rPr>
                <w:sz w:val="24"/>
                <w:szCs w:val="24"/>
              </w:rPr>
              <w:t>"(до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887BDA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10EA9">
              <w:rPr>
                <w:color w:val="000000"/>
                <w:sz w:val="24"/>
                <w:szCs w:val="24"/>
                <w:highlight w:val="yellow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66189D">
            <w:pPr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 xml:space="preserve">Реализация мероприятий по приобретению спортивного оборудования и инвентаря для приведения организаций спортивной подготовки в нормативное состояние в рамках подпрограммы «Развитие системы подготовки спортивного резерва» государственной </w:t>
            </w:r>
            <w:r w:rsidRPr="00710EA9">
              <w:rPr>
                <w:sz w:val="24"/>
                <w:szCs w:val="24"/>
                <w:highlight w:val="yellow"/>
              </w:rPr>
              <w:lastRenderedPageBreak/>
              <w:t>программы Красноярского края «Развитие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710EA9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062</w:t>
            </w:r>
            <w:r>
              <w:rPr>
                <w:sz w:val="24"/>
                <w:szCs w:val="24"/>
                <w:highlight w:val="yellow"/>
              </w:rPr>
              <w:t>Р552290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611</w:t>
            </w:r>
            <w:r>
              <w:rPr>
                <w:sz w:val="24"/>
                <w:szCs w:val="24"/>
                <w:highlight w:val="yellow"/>
              </w:rPr>
              <w:t>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 w:rsidRPr="00710EA9">
              <w:rPr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234E1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78,96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87BDA" w:rsidRDefault="00887BDA" w:rsidP="004B53B1">
      <w:pPr>
        <w:rPr>
          <w:szCs w:val="24"/>
        </w:rPr>
      </w:pPr>
    </w:p>
    <w:p w:rsidR="00887BDA" w:rsidRDefault="00887BDA" w:rsidP="004B53B1">
      <w:pPr>
        <w:rPr>
          <w:szCs w:val="24"/>
        </w:rPr>
      </w:pPr>
    </w:p>
    <w:p w:rsidR="00E6150A" w:rsidRDefault="00E6150A" w:rsidP="004B53B1">
      <w:pPr>
        <w:rPr>
          <w:szCs w:val="24"/>
        </w:rPr>
        <w:sectPr w:rsidR="00E6150A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92ECE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>от 04.10.2013 № 239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ПОДПРОГРАММА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1. Паспорт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2014 - 2021 годы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</w:t>
            </w:r>
            <w:r w:rsidR="00710EA9"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80 059,45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EA9"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10 7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34,67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9 156,01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1 243,71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68 301,45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2019 год - 8 490,96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2 601,99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710EA9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1 000</w:t>
            </w:r>
            <w:r w:rsidRPr="00710E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,00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710EA9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2020 год – 600,00 тыс. рублей;</w:t>
            </w:r>
          </w:p>
          <w:p w:rsidR="00E6150A" w:rsidRPr="00710EA9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92ECE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292ECE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92ECE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92ECE" w:rsidRDefault="00E6150A" w:rsidP="00E6150A">
      <w:pPr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ее выполнения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E1040E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E1040E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</w:pPr>
            <w:r w:rsidRPr="000517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</w:tr>
    </w:tbl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292ECE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96E1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96E1B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710EA9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yellow"/>
              </w:rPr>
              <w:t>10 7</w:t>
            </w:r>
            <w:r w:rsidR="005E049E" w:rsidRPr="005E049E">
              <w:rPr>
                <w:b/>
                <w:bCs/>
                <w:color w:val="000000"/>
                <w:sz w:val="24"/>
                <w:szCs w:val="24"/>
                <w:highlight w:val="yellow"/>
              </w:rPr>
              <w:t>34,67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710EA9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0EA9">
              <w:rPr>
                <w:b/>
                <w:bCs/>
                <w:color w:val="000000"/>
                <w:sz w:val="24"/>
                <w:szCs w:val="24"/>
                <w:highlight w:val="yellow"/>
              </w:rPr>
              <w:t>30 283,69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C96E1B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C96E1B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96E1B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3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66189D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</w:t>
            </w:r>
            <w:r w:rsidR="005E049E" w:rsidRPr="00710E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  <w:lang w:val="en-US"/>
              </w:rPr>
            </w:pPr>
            <w:r w:rsidRPr="00710EA9">
              <w:rPr>
                <w:sz w:val="24"/>
                <w:szCs w:val="24"/>
                <w:lang w:val="en-US"/>
              </w:rPr>
              <w:t>439</w:t>
            </w:r>
            <w:r w:rsidRPr="00710EA9">
              <w:rPr>
                <w:sz w:val="24"/>
                <w:szCs w:val="24"/>
              </w:rPr>
              <w:t>,</w:t>
            </w:r>
            <w:r w:rsidRPr="00710EA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439,30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96E1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96E1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C96E1B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96E1B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CF36C7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  <w:highlight w:val="yellow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710EA9" w:rsidP="00C96E1B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  <w:highlight w:val="yellow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C16D9" w:rsidRPr="00C96E1B" w:rsidTr="005E049E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CF36C7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710EA9">
              <w:rPr>
                <w:sz w:val="24"/>
                <w:szCs w:val="24"/>
              </w:rPr>
              <w:t>имального размера оплаты труда), (</w:t>
            </w:r>
            <w:r w:rsidRPr="00710EA9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96E1B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92ECE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Default="00887BDA" w:rsidP="004B53B1">
      <w:pPr>
        <w:rPr>
          <w:sz w:val="28"/>
          <w:szCs w:val="28"/>
        </w:rPr>
      </w:pPr>
    </w:p>
    <w:p w:rsidR="00F65EB9" w:rsidRDefault="00F65EB9" w:rsidP="004B53B1">
      <w:pPr>
        <w:rPr>
          <w:szCs w:val="24"/>
        </w:rPr>
        <w:sectPr w:rsidR="00F65EB9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AA5A95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>от 04.10.2013 № 239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ПОДПРОГРАММА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1. Паспорт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AA5A9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приведены в </w:t>
            </w:r>
            <w:r w:rsidRPr="00AA5A95">
              <w:rPr>
                <w:color w:val="0000FF"/>
                <w:sz w:val="28"/>
                <w:szCs w:val="28"/>
              </w:rPr>
              <w:t>приложении N 1</w:t>
            </w:r>
            <w:r w:rsidRPr="00AA5A95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2014 - 2021 годы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5C16D9" w:rsidRPr="00710EA9">
              <w:rPr>
                <w:sz w:val="28"/>
                <w:szCs w:val="28"/>
              </w:rPr>
              <w:t>19 259,23</w:t>
            </w:r>
            <w:r w:rsidRPr="00710EA9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2014 год – 2 176,76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2015 год – 2 402,50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2016 год – 2 375,64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2017 год – 2 503,92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 xml:space="preserve">2018 год – </w:t>
            </w:r>
            <w:r w:rsidR="005C16D9" w:rsidRPr="00710EA9">
              <w:rPr>
                <w:sz w:val="28"/>
                <w:szCs w:val="28"/>
              </w:rPr>
              <w:t>2 508,34</w:t>
            </w:r>
            <w:r w:rsidRPr="00710EA9">
              <w:rPr>
                <w:sz w:val="28"/>
                <w:szCs w:val="28"/>
              </w:rPr>
              <w:t xml:space="preserve">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2019 год – 2 430,69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2020 год – 2 430,69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2021 год – 2 430,69 тыс. рублей;</w:t>
            </w:r>
          </w:p>
          <w:p w:rsidR="00F65EB9" w:rsidRPr="00710EA9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710EA9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710EA9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C16D9" w:rsidRPr="00710EA9">
              <w:rPr>
                <w:rFonts w:ascii="Times New Roman" w:hAnsi="Times New Roman" w:cs="Times New Roman"/>
                <w:sz w:val="28"/>
                <w:szCs w:val="28"/>
              </w:rPr>
              <w:t>19 074,56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2014 год – 2 176,76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2015 год – 2 402,50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2016 год – 2 375,64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2017 год – 2 503,92 тыс. рублей;</w:t>
            </w:r>
          </w:p>
          <w:p w:rsidR="00F65EB9" w:rsidRPr="00710EA9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710EA9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2019 год – 2 430,69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2020 год – 2 430,69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2021 год – 2 430,69 тыс. рублей;</w:t>
            </w:r>
          </w:p>
          <w:p w:rsidR="00F65EB9" w:rsidRPr="00710EA9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9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2014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2015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2016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2017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 xml:space="preserve">2018 год </w:t>
            </w:r>
            <w:r w:rsidRPr="00710EA9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2019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2020 год – 0,00 тыс. рублей;</w:t>
            </w:r>
          </w:p>
          <w:p w:rsidR="00F65EB9" w:rsidRPr="00710EA9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0EA9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2. Мероприятия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3. Механизм реализации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A95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ее выполнения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AA5A95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AA5A95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Default="00E6150A" w:rsidP="004B53B1">
      <w:pPr>
        <w:rPr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подпрограмме</w:t>
      </w:r>
      <w:r w:rsidRPr="00C903B4">
        <w:rPr>
          <w:sz w:val="24"/>
          <w:szCs w:val="24"/>
        </w:rPr>
        <w:t xml:space="preserve"> «Управление развитием отрасли физической культуры и спорта», реализуемой в рамках муниципальной</w:t>
      </w:r>
      <w:r>
        <w:rPr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A24B5C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44226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F1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  <w:sectPr w:rsidR="00F65EB9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F65EB9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65EB9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F65EB9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F65EB9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F65EB9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F65EB9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F65EB9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5EB9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Default="00AB36A6" w:rsidP="00F65EB9">
      <w:pPr>
        <w:ind w:left="284" w:right="332"/>
        <w:rPr>
          <w:sz w:val="24"/>
          <w:szCs w:val="24"/>
        </w:rPr>
        <w:sectPr w:rsidR="00AB36A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0C2A7F">
        <w:rPr>
          <w:sz w:val="28"/>
          <w:szCs w:val="28"/>
        </w:rPr>
        <w:t>П</w:t>
      </w:r>
      <w:r>
        <w:rPr>
          <w:sz w:val="28"/>
          <w:szCs w:val="28"/>
        </w:rPr>
        <w:t>риложение № 9</w:t>
      </w:r>
      <w:r w:rsidRPr="000C2A7F">
        <w:rPr>
          <w:sz w:val="28"/>
          <w:szCs w:val="28"/>
        </w:rPr>
        <w:t xml:space="preserve"> к муниципальной программе «Развитие физической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>от 04.10.2013 № 239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214FE">
        <w:rPr>
          <w:rFonts w:eastAsia="Calibri"/>
          <w:sz w:val="28"/>
          <w:szCs w:val="28"/>
        </w:rPr>
        <w:t xml:space="preserve"> </w:t>
      </w:r>
      <w:r w:rsidRPr="00E91D88">
        <w:rPr>
          <w:rFonts w:eastAsia="Calibri"/>
          <w:sz w:val="28"/>
          <w:szCs w:val="28"/>
        </w:rPr>
        <w:t>Информация</w:t>
      </w:r>
    </w:p>
    <w:p w:rsidR="00AB36A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1D88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8A2A5C" w:rsidTr="00AB36A6">
        <w:trPr>
          <w:trHeight w:val="1735"/>
        </w:trPr>
        <w:tc>
          <w:tcPr>
            <w:tcW w:w="67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8A2A5C" w:rsidTr="00AB36A6">
        <w:trPr>
          <w:trHeight w:val="967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8A2A5C" w:rsidTr="00AB36A6">
        <w:trPr>
          <w:trHeight w:val="924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8A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подпрог</w:t>
            </w:r>
            <w:r w:rsidRPr="008A2A5C">
              <w:rPr>
                <w:sz w:val="24"/>
                <w:szCs w:val="24"/>
              </w:rPr>
              <w:t>раммы: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E7F7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>обеспечения выполнения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</w:t>
            </w:r>
            <w:r w:rsidRPr="008A2A5C">
              <w:rPr>
                <w:sz w:val="24"/>
                <w:szCs w:val="24"/>
              </w:rPr>
              <w:t>рограммы: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Подпрограмма </w:t>
            </w:r>
            <w:r w:rsidRPr="00360699">
              <w:rPr>
                <w:sz w:val="24"/>
                <w:szCs w:val="24"/>
              </w:rPr>
              <w:t>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под</w:t>
            </w:r>
            <w:r w:rsidRPr="008A2A5C">
              <w:rPr>
                <w:sz w:val="24"/>
                <w:szCs w:val="24"/>
              </w:rPr>
              <w:t>программы: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</w:t>
            </w:r>
            <w:r>
              <w:rPr>
                <w:sz w:val="24"/>
                <w:szCs w:val="24"/>
              </w:rPr>
              <w:t>подготовкой спортивного резерва;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спорта, поиск, поддержк</w:t>
            </w:r>
            <w:r>
              <w:rPr>
                <w:sz w:val="24"/>
                <w:szCs w:val="24"/>
              </w:rPr>
              <w:t>у талантливых и одаренных детей;</w:t>
            </w:r>
            <w:r w:rsidRPr="00642CEF">
              <w:rPr>
                <w:sz w:val="24"/>
                <w:szCs w:val="24"/>
              </w:rPr>
              <w:t xml:space="preserve"> 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642CEF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BE" w:rsidRDefault="003C4BBE" w:rsidP="00371794">
      <w:r>
        <w:separator/>
      </w:r>
    </w:p>
  </w:endnote>
  <w:endnote w:type="continuationSeparator" w:id="0">
    <w:p w:rsidR="003C4BBE" w:rsidRDefault="003C4BBE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BE" w:rsidRDefault="003C4BBE" w:rsidP="00371794">
      <w:r>
        <w:separator/>
      </w:r>
    </w:p>
  </w:footnote>
  <w:footnote w:type="continuationSeparator" w:id="0">
    <w:p w:rsidR="003C4BBE" w:rsidRDefault="003C4BBE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6" w:rsidRDefault="0054525F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8028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0286">
      <w:rPr>
        <w:rStyle w:val="a8"/>
        <w:noProof/>
      </w:rPr>
      <w:t>25</w:t>
    </w:r>
    <w:r>
      <w:rPr>
        <w:rStyle w:val="a8"/>
      </w:rPr>
      <w:fldChar w:fldCharType="end"/>
    </w:r>
  </w:p>
  <w:p w:rsidR="00880286" w:rsidRDefault="008802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86" w:rsidRDefault="00880286" w:rsidP="00674283">
    <w:pPr>
      <w:pStyle w:val="a6"/>
      <w:framePr w:wrap="around" w:vAnchor="text" w:hAnchor="margin" w:xAlign="center" w:y="1"/>
      <w:rPr>
        <w:rStyle w:val="a8"/>
      </w:rPr>
    </w:pPr>
  </w:p>
  <w:p w:rsidR="00880286" w:rsidRDefault="0088028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D4352"/>
    <w:rsid w:val="000D4F1F"/>
    <w:rsid w:val="000D63BC"/>
    <w:rsid w:val="000E26E5"/>
    <w:rsid w:val="00102644"/>
    <w:rsid w:val="00134E6F"/>
    <w:rsid w:val="00147653"/>
    <w:rsid w:val="00160FB9"/>
    <w:rsid w:val="001836C5"/>
    <w:rsid w:val="00197ACE"/>
    <w:rsid w:val="001C0306"/>
    <w:rsid w:val="001C2A5B"/>
    <w:rsid w:val="001C36DC"/>
    <w:rsid w:val="001C4FBF"/>
    <w:rsid w:val="00245985"/>
    <w:rsid w:val="00257F43"/>
    <w:rsid w:val="002779A6"/>
    <w:rsid w:val="002979D3"/>
    <w:rsid w:val="00322ECA"/>
    <w:rsid w:val="00371794"/>
    <w:rsid w:val="003944AB"/>
    <w:rsid w:val="003B3FE5"/>
    <w:rsid w:val="003C4BBE"/>
    <w:rsid w:val="003C5F54"/>
    <w:rsid w:val="003D281F"/>
    <w:rsid w:val="003E0D05"/>
    <w:rsid w:val="00432FD4"/>
    <w:rsid w:val="00447BFA"/>
    <w:rsid w:val="00475888"/>
    <w:rsid w:val="004A58AF"/>
    <w:rsid w:val="004B53B1"/>
    <w:rsid w:val="004C6466"/>
    <w:rsid w:val="00501CC9"/>
    <w:rsid w:val="005441AB"/>
    <w:rsid w:val="0054525F"/>
    <w:rsid w:val="00561E8E"/>
    <w:rsid w:val="00563754"/>
    <w:rsid w:val="00572B59"/>
    <w:rsid w:val="0059685F"/>
    <w:rsid w:val="005C1496"/>
    <w:rsid w:val="005C16D9"/>
    <w:rsid w:val="005C2CD7"/>
    <w:rsid w:val="005E049E"/>
    <w:rsid w:val="00641DE2"/>
    <w:rsid w:val="00651EF5"/>
    <w:rsid w:val="0066189D"/>
    <w:rsid w:val="00672D8D"/>
    <w:rsid w:val="00674283"/>
    <w:rsid w:val="00675571"/>
    <w:rsid w:val="00680427"/>
    <w:rsid w:val="006C24D5"/>
    <w:rsid w:val="006F733B"/>
    <w:rsid w:val="0070656A"/>
    <w:rsid w:val="00710EA9"/>
    <w:rsid w:val="007823A2"/>
    <w:rsid w:val="00797451"/>
    <w:rsid w:val="007B289A"/>
    <w:rsid w:val="007D529C"/>
    <w:rsid w:val="007E4158"/>
    <w:rsid w:val="007F7BDF"/>
    <w:rsid w:val="00811212"/>
    <w:rsid w:val="00815455"/>
    <w:rsid w:val="00820D75"/>
    <w:rsid w:val="008376D7"/>
    <w:rsid w:val="00850F5C"/>
    <w:rsid w:val="0085268A"/>
    <w:rsid w:val="00880286"/>
    <w:rsid w:val="00887BDA"/>
    <w:rsid w:val="008C2F99"/>
    <w:rsid w:val="00936F75"/>
    <w:rsid w:val="009540B0"/>
    <w:rsid w:val="00960E5F"/>
    <w:rsid w:val="00963628"/>
    <w:rsid w:val="009C66AA"/>
    <w:rsid w:val="009E468D"/>
    <w:rsid w:val="00A025C6"/>
    <w:rsid w:val="00A91357"/>
    <w:rsid w:val="00AB2A2E"/>
    <w:rsid w:val="00AB36A6"/>
    <w:rsid w:val="00B02CD6"/>
    <w:rsid w:val="00B03C6B"/>
    <w:rsid w:val="00B5406F"/>
    <w:rsid w:val="00B9543E"/>
    <w:rsid w:val="00BB08AE"/>
    <w:rsid w:val="00BB32F3"/>
    <w:rsid w:val="00BE3E55"/>
    <w:rsid w:val="00C0009E"/>
    <w:rsid w:val="00C07899"/>
    <w:rsid w:val="00C14478"/>
    <w:rsid w:val="00C2644E"/>
    <w:rsid w:val="00C339A7"/>
    <w:rsid w:val="00C43A22"/>
    <w:rsid w:val="00C958C0"/>
    <w:rsid w:val="00C96E1B"/>
    <w:rsid w:val="00CD09FE"/>
    <w:rsid w:val="00CF106D"/>
    <w:rsid w:val="00CF36C7"/>
    <w:rsid w:val="00D430BD"/>
    <w:rsid w:val="00D75FF1"/>
    <w:rsid w:val="00DA21B0"/>
    <w:rsid w:val="00DA7416"/>
    <w:rsid w:val="00DB1771"/>
    <w:rsid w:val="00DE5462"/>
    <w:rsid w:val="00DF6044"/>
    <w:rsid w:val="00E24015"/>
    <w:rsid w:val="00E545EC"/>
    <w:rsid w:val="00E6150A"/>
    <w:rsid w:val="00E63BA2"/>
    <w:rsid w:val="00E642F9"/>
    <w:rsid w:val="00E670CB"/>
    <w:rsid w:val="00E960F3"/>
    <w:rsid w:val="00EC67BB"/>
    <w:rsid w:val="00EC6DD3"/>
    <w:rsid w:val="00ED4A93"/>
    <w:rsid w:val="00F309EA"/>
    <w:rsid w:val="00F512A6"/>
    <w:rsid w:val="00F65EB9"/>
    <w:rsid w:val="00F74451"/>
    <w:rsid w:val="00FD4C50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12832;fld=134;dst=100008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B;n=221445;fld=134;dst=103281" TargetMode="External"/><Relationship Id="rId12" Type="http://schemas.openxmlformats.org/officeDocument/2006/relationships/hyperlink" Target="consultantplus://offline/ref=9B0FA41F05B4312C08B4F7CC544CEE3EABBDE98A7CB4317A426ECDD882yBw5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19075</Words>
  <Characters>108734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77</cp:revision>
  <dcterms:created xsi:type="dcterms:W3CDTF">2018-10-18T07:24:00Z</dcterms:created>
  <dcterms:modified xsi:type="dcterms:W3CDTF">2019-04-26T02:36:00Z</dcterms:modified>
</cp:coreProperties>
</file>