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4" w:rsidRPr="00C063D2" w:rsidRDefault="004951C4" w:rsidP="004951C4">
      <w:pPr>
        <w:widowControl w:val="0"/>
        <w:shd w:val="clear" w:color="auto" w:fill="FFFFFF"/>
        <w:suppressAutoHyphens w:val="0"/>
        <w:autoSpaceDE w:val="0"/>
        <w:ind w:firstLine="539"/>
        <w:jc w:val="right"/>
      </w:pPr>
      <w:r w:rsidRPr="00C063D2">
        <w:t>Приложение № 2</w:t>
      </w:r>
    </w:p>
    <w:p w:rsidR="004951C4" w:rsidRPr="00C063D2" w:rsidRDefault="004951C4" w:rsidP="004951C4">
      <w:pPr>
        <w:widowControl w:val="0"/>
        <w:suppressAutoHyphens w:val="0"/>
        <w:jc w:val="right"/>
      </w:pPr>
      <w:r w:rsidRPr="00C063D2">
        <w:rPr>
          <w:rFonts w:eastAsia="Arial Unicode MS"/>
          <w:kern w:val="1"/>
        </w:rPr>
        <w:t>к конкурсной документации</w:t>
      </w:r>
    </w:p>
    <w:p w:rsidR="004951C4" w:rsidRPr="00C063D2" w:rsidRDefault="004951C4" w:rsidP="004951C4">
      <w:pPr>
        <w:widowControl w:val="0"/>
        <w:suppressAutoHyphens w:val="0"/>
        <w:jc w:val="right"/>
      </w:pPr>
      <w:r w:rsidRPr="00C063D2">
        <w:t xml:space="preserve">о проведении открытого конкурса на право заключения </w:t>
      </w:r>
    </w:p>
    <w:p w:rsidR="004951C4" w:rsidRPr="00C063D2" w:rsidRDefault="004951C4" w:rsidP="004951C4">
      <w:pPr>
        <w:widowControl w:val="0"/>
        <w:suppressAutoHyphens w:val="0"/>
        <w:jc w:val="right"/>
        <w:rPr>
          <w:bCs/>
        </w:rPr>
      </w:pPr>
      <w:r w:rsidRPr="00C063D2">
        <w:t xml:space="preserve">концессионного соглашения </w:t>
      </w:r>
      <w:r w:rsidRPr="00C063D2">
        <w:rPr>
          <w:bCs/>
        </w:rPr>
        <w:t xml:space="preserve">в отношении объектов водоснабжения – </w:t>
      </w:r>
    </w:p>
    <w:p w:rsidR="008C2ED1" w:rsidRPr="00C063D2" w:rsidRDefault="004951C4" w:rsidP="004951C4">
      <w:pPr>
        <w:widowControl w:val="0"/>
        <w:suppressAutoHyphens w:val="0"/>
        <w:jc w:val="right"/>
        <w:rPr>
          <w:bCs/>
        </w:rPr>
      </w:pPr>
      <w:r w:rsidRPr="00C063D2">
        <w:rPr>
          <w:bCs/>
        </w:rPr>
        <w:t xml:space="preserve">централизованных систем холодного водоснабжения </w:t>
      </w:r>
    </w:p>
    <w:p w:rsidR="008C2ED1" w:rsidRPr="00C063D2" w:rsidRDefault="004951C4" w:rsidP="004951C4">
      <w:pPr>
        <w:widowControl w:val="0"/>
        <w:suppressAutoHyphens w:val="0"/>
        <w:jc w:val="right"/>
        <w:rPr>
          <w:bCs/>
        </w:rPr>
      </w:pPr>
      <w:r w:rsidRPr="00C063D2">
        <w:rPr>
          <w:bCs/>
        </w:rPr>
        <w:t>на территории муниципального образования</w:t>
      </w:r>
    </w:p>
    <w:p w:rsidR="004951C4" w:rsidRPr="00C063D2" w:rsidRDefault="004951C4" w:rsidP="004951C4">
      <w:pPr>
        <w:widowControl w:val="0"/>
        <w:suppressAutoHyphens w:val="0"/>
        <w:jc w:val="right"/>
        <w:rPr>
          <w:bCs/>
        </w:rPr>
      </w:pPr>
      <w:r w:rsidRPr="00C063D2">
        <w:rPr>
          <w:bCs/>
        </w:rPr>
        <w:t xml:space="preserve"> «</w:t>
      </w:r>
      <w:r w:rsidR="008C2ED1" w:rsidRPr="00C063D2">
        <w:rPr>
          <w:bCs/>
        </w:rPr>
        <w:t xml:space="preserve">городской округ </w:t>
      </w:r>
      <w:r w:rsidRPr="00C063D2">
        <w:rPr>
          <w:bCs/>
        </w:rPr>
        <w:t>город Шарыпово Красноярского края»</w:t>
      </w:r>
    </w:p>
    <w:p w:rsidR="004951C4" w:rsidRPr="00C063D2" w:rsidRDefault="004951C4" w:rsidP="004951C4">
      <w:pPr>
        <w:widowControl w:val="0"/>
        <w:suppressAutoHyphens w:val="0"/>
        <w:jc w:val="right"/>
        <w:rPr>
          <w:bCs/>
        </w:rPr>
      </w:pPr>
    </w:p>
    <w:p w:rsidR="004951C4" w:rsidRPr="00C063D2" w:rsidRDefault="004951C4" w:rsidP="004951C4">
      <w:pPr>
        <w:widowControl w:val="0"/>
        <w:suppressAutoHyphens w:val="0"/>
        <w:jc w:val="right"/>
        <w:rPr>
          <w:bCs/>
        </w:rPr>
      </w:pPr>
    </w:p>
    <w:p w:rsidR="004951C4" w:rsidRPr="00C063D2" w:rsidRDefault="004951C4" w:rsidP="004951C4">
      <w:pPr>
        <w:widowControl w:val="0"/>
        <w:suppressAutoHyphens w:val="0"/>
        <w:jc w:val="right"/>
      </w:pPr>
    </w:p>
    <w:p w:rsidR="00547FFB" w:rsidRPr="00C063D2" w:rsidRDefault="000010F5" w:rsidP="00BE7C38">
      <w:pPr>
        <w:jc w:val="center"/>
        <w:rPr>
          <w:b/>
          <w:color w:val="000000"/>
        </w:rPr>
      </w:pPr>
      <w:r w:rsidRPr="00C063D2">
        <w:rPr>
          <w:b/>
          <w:color w:val="000000"/>
        </w:rPr>
        <w:t xml:space="preserve">Критерии </w:t>
      </w:r>
      <w:r w:rsidR="00BE7C38" w:rsidRPr="00C063D2">
        <w:rPr>
          <w:b/>
          <w:color w:val="000000"/>
        </w:rPr>
        <w:t>к</w:t>
      </w:r>
      <w:r w:rsidRPr="00C063D2">
        <w:rPr>
          <w:b/>
          <w:color w:val="000000"/>
        </w:rPr>
        <w:t xml:space="preserve">онкурса и </w:t>
      </w:r>
      <w:r w:rsidR="00BE7C38" w:rsidRPr="00C063D2">
        <w:rPr>
          <w:b/>
          <w:color w:val="000000"/>
        </w:rPr>
        <w:t>параметры критериев конкурса</w:t>
      </w:r>
    </w:p>
    <w:p w:rsidR="00391402" w:rsidRPr="00C063D2" w:rsidRDefault="00391402" w:rsidP="004951C4">
      <w:pPr>
        <w:jc w:val="center"/>
        <w:rPr>
          <w:b/>
          <w:color w:val="000000"/>
        </w:rPr>
      </w:pPr>
    </w:p>
    <w:p w:rsidR="00391402" w:rsidRPr="00C063D2" w:rsidRDefault="00391402" w:rsidP="004951C4">
      <w:pPr>
        <w:jc w:val="center"/>
        <w:rPr>
          <w:b/>
        </w:rPr>
      </w:pPr>
    </w:p>
    <w:p w:rsidR="00391402" w:rsidRPr="00C063D2" w:rsidRDefault="00391402" w:rsidP="00391402">
      <w:pPr>
        <w:pStyle w:val="a3"/>
        <w:widowControl w:val="0"/>
        <w:ind w:left="0"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C063D2">
        <w:rPr>
          <w:rFonts w:eastAsiaTheme="minorHAnsi"/>
          <w:sz w:val="24"/>
          <w:szCs w:val="24"/>
          <w:lang w:val="ru-RU" w:eastAsia="en-US"/>
        </w:rPr>
        <w:t xml:space="preserve">1. Предельный размер расходов на реконструкцию объекта концессионного соглашения </w:t>
      </w:r>
      <w:r w:rsidR="009A7FA7" w:rsidRPr="00C063D2">
        <w:rPr>
          <w:rFonts w:eastAsiaTheme="minorHAnsi"/>
          <w:sz w:val="24"/>
          <w:szCs w:val="24"/>
          <w:lang w:val="ru-RU" w:eastAsia="en-US"/>
        </w:rPr>
        <w:t>–</w:t>
      </w:r>
      <w:r w:rsidRPr="00C063D2">
        <w:rPr>
          <w:rFonts w:eastAsiaTheme="minorHAnsi"/>
          <w:sz w:val="24"/>
          <w:szCs w:val="24"/>
          <w:lang w:val="ru-RU" w:eastAsia="en-US"/>
        </w:rPr>
        <w:t xml:space="preserve"> 21</w:t>
      </w:r>
      <w:r w:rsidR="009A7FA7" w:rsidRPr="00C063D2">
        <w:rPr>
          <w:rFonts w:eastAsiaTheme="minorHAnsi"/>
          <w:sz w:val="24"/>
          <w:szCs w:val="24"/>
          <w:lang w:val="ru-RU" w:eastAsia="en-US"/>
        </w:rPr>
        <w:t>8</w:t>
      </w:r>
      <w:r w:rsidR="00596DFC" w:rsidRPr="00C063D2">
        <w:rPr>
          <w:rFonts w:eastAsiaTheme="minorHAnsi"/>
          <w:sz w:val="24"/>
          <w:szCs w:val="24"/>
          <w:lang w:val="ru-RU" w:eastAsia="en-US"/>
        </w:rPr>
        <w:t>70,65</w:t>
      </w:r>
      <w:r w:rsidRPr="00C063D2">
        <w:rPr>
          <w:rFonts w:eastAsiaTheme="minorHAnsi"/>
          <w:sz w:val="24"/>
          <w:szCs w:val="24"/>
          <w:lang w:val="ru-RU" w:eastAsia="en-US"/>
        </w:rPr>
        <w:t xml:space="preserve"> тыс.руб.</w:t>
      </w:r>
    </w:p>
    <w:p w:rsidR="00391402" w:rsidRPr="00C063D2" w:rsidRDefault="00391402" w:rsidP="00391402">
      <w:pPr>
        <w:pStyle w:val="a3"/>
        <w:widowControl w:val="0"/>
        <w:ind w:left="0"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tbl>
      <w:tblPr>
        <w:tblStyle w:val="a4"/>
        <w:tblW w:w="10324" w:type="dxa"/>
        <w:tblInd w:w="-581" w:type="dxa"/>
        <w:tblLook w:val="04A0"/>
      </w:tblPr>
      <w:tblGrid>
        <w:gridCol w:w="2629"/>
        <w:gridCol w:w="494"/>
        <w:gridCol w:w="513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391402" w:rsidRPr="00C063D2" w:rsidTr="003A788C">
        <w:trPr>
          <w:cantSplit/>
          <w:trHeight w:val="1499"/>
        </w:trPr>
        <w:tc>
          <w:tcPr>
            <w:tcW w:w="2629" w:type="dxa"/>
          </w:tcPr>
          <w:p w:rsidR="00391402" w:rsidRPr="00C063D2" w:rsidRDefault="00391402" w:rsidP="003A788C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Наименование показателя</w:t>
            </w:r>
          </w:p>
        </w:tc>
        <w:tc>
          <w:tcPr>
            <w:tcW w:w="494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513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2024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2025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2026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2027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2028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2029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2030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2031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2032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2033</w:t>
            </w:r>
          </w:p>
        </w:tc>
        <w:tc>
          <w:tcPr>
            <w:tcW w:w="608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2034</w:t>
            </w:r>
          </w:p>
        </w:tc>
      </w:tr>
      <w:tr w:rsidR="00391402" w:rsidRPr="00C063D2" w:rsidTr="003A788C">
        <w:trPr>
          <w:cantSplit/>
          <w:trHeight w:val="1134"/>
        </w:trPr>
        <w:tc>
          <w:tcPr>
            <w:tcW w:w="2629" w:type="dxa"/>
          </w:tcPr>
          <w:p w:rsidR="00391402" w:rsidRPr="00C063D2" w:rsidRDefault="00391402" w:rsidP="003A788C">
            <w:pPr>
              <w:pStyle w:val="a3"/>
              <w:widowControl w:val="0"/>
              <w:ind w:left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Предельный  (минимальный)</w:t>
            </w:r>
          </w:p>
          <w:p w:rsidR="00391402" w:rsidRPr="00C063D2" w:rsidRDefault="00391402" w:rsidP="003A788C">
            <w:pPr>
              <w:pStyle w:val="a3"/>
              <w:widowControl w:val="0"/>
              <w:ind w:left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размер расходов на реконструкцию объекта концессионного соглашения , которые предполагается осуществить концессионером, </w:t>
            </w:r>
          </w:p>
          <w:p w:rsidR="00391402" w:rsidRPr="00C063D2" w:rsidRDefault="00391402" w:rsidP="003A788C">
            <w:pPr>
              <w:pStyle w:val="a3"/>
              <w:widowControl w:val="0"/>
              <w:ind w:left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без учета расходов, источником финансирования которых является плата за подключение (технологическое присоединение), тыс.руб</w:t>
            </w:r>
          </w:p>
        </w:tc>
        <w:tc>
          <w:tcPr>
            <w:tcW w:w="494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513" w:type="dxa"/>
            <w:textDirection w:val="btLr"/>
          </w:tcPr>
          <w:p w:rsidR="00391402" w:rsidRPr="00C063D2" w:rsidRDefault="00391402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1233,12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1684,78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1554,16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1884,61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2237,51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2116,05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2287,98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2215,34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1573,66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2476,99</w:t>
            </w:r>
          </w:p>
        </w:tc>
        <w:tc>
          <w:tcPr>
            <w:tcW w:w="608" w:type="dxa"/>
            <w:textDirection w:val="btLr"/>
          </w:tcPr>
          <w:p w:rsidR="00391402" w:rsidRPr="00C063D2" w:rsidRDefault="00596DFC" w:rsidP="003A788C">
            <w:pPr>
              <w:pStyle w:val="a3"/>
              <w:ind w:left="113"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063D2">
              <w:rPr>
                <w:rFonts w:eastAsiaTheme="minorHAnsi"/>
                <w:sz w:val="22"/>
                <w:szCs w:val="22"/>
                <w:lang w:val="ru-RU" w:eastAsia="en-US"/>
              </w:rPr>
              <w:t>2606,45</w:t>
            </w:r>
          </w:p>
        </w:tc>
      </w:tr>
    </w:tbl>
    <w:p w:rsidR="00391402" w:rsidRPr="00C063D2" w:rsidRDefault="00391402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391402" w:rsidRPr="00C063D2" w:rsidRDefault="00391402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391402" w:rsidRPr="00C063D2" w:rsidRDefault="00391402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  <w:r w:rsidRPr="00C063D2">
        <w:rPr>
          <w:rFonts w:eastAsiaTheme="minorHAnsi"/>
          <w:lang w:eastAsia="en-US"/>
        </w:rPr>
        <w:t>2.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соглашения – 0,00 тыс.руб.</w:t>
      </w: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  <w:r w:rsidRPr="00C063D2">
        <w:rPr>
          <w:rFonts w:eastAsiaTheme="minorHAnsi"/>
          <w:lang w:eastAsia="en-US"/>
        </w:rPr>
        <w:t>3.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– 0,00 тыс.руб.</w:t>
      </w: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C063D2" w:rsidRDefault="00391402" w:rsidP="00391402">
      <w:pPr>
        <w:pStyle w:val="a3"/>
        <w:widowControl w:val="0"/>
        <w:ind w:left="0" w:firstLine="709"/>
        <w:contextualSpacing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391402" w:rsidRPr="00C063D2" w:rsidRDefault="00391402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391402" w:rsidRPr="00C063D2" w:rsidRDefault="00391402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FB6678" w:rsidRPr="00C063D2" w:rsidRDefault="00FB6678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FB6678" w:rsidRPr="00C063D2" w:rsidRDefault="00FB6678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391402" w:rsidRPr="00C063D2" w:rsidRDefault="00391402" w:rsidP="00391402">
      <w:pPr>
        <w:pStyle w:val="a3"/>
        <w:ind w:left="1070"/>
        <w:jc w:val="both"/>
        <w:rPr>
          <w:rFonts w:eastAsiaTheme="minorHAnsi"/>
          <w:sz w:val="24"/>
          <w:szCs w:val="24"/>
          <w:lang w:val="ru-RU" w:eastAsia="en-US"/>
        </w:rPr>
      </w:pPr>
      <w:r w:rsidRPr="00C063D2">
        <w:rPr>
          <w:rFonts w:eastAsiaTheme="minorHAnsi"/>
          <w:sz w:val="24"/>
          <w:szCs w:val="24"/>
          <w:lang w:val="ru-RU" w:eastAsia="en-US"/>
        </w:rPr>
        <w:t>4. Долгосрочные параметры регулирования деятельности  концессионера:</w:t>
      </w:r>
    </w:p>
    <w:p w:rsidR="00391402" w:rsidRPr="00C063D2" w:rsidRDefault="00391402" w:rsidP="0039140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tbl>
      <w:tblPr>
        <w:tblW w:w="9660" w:type="dxa"/>
        <w:jc w:val="center"/>
        <w:tblLayout w:type="fixed"/>
        <w:tblLook w:val="04A0"/>
      </w:tblPr>
      <w:tblGrid>
        <w:gridCol w:w="720"/>
        <w:gridCol w:w="2399"/>
        <w:gridCol w:w="709"/>
        <w:gridCol w:w="425"/>
        <w:gridCol w:w="368"/>
        <w:gridCol w:w="457"/>
        <w:gridCol w:w="459"/>
        <w:gridCol w:w="459"/>
        <w:gridCol w:w="459"/>
        <w:gridCol w:w="459"/>
        <w:gridCol w:w="459"/>
        <w:gridCol w:w="459"/>
        <w:gridCol w:w="459"/>
        <w:gridCol w:w="459"/>
        <w:gridCol w:w="477"/>
        <w:gridCol w:w="425"/>
        <w:gridCol w:w="8"/>
      </w:tblGrid>
      <w:tr w:rsidR="00391402" w:rsidRPr="00C063D2" w:rsidTr="003A788C">
        <w:trPr>
          <w:gridAfter w:val="1"/>
          <w:wAfter w:w="8" w:type="dxa"/>
          <w:cantSplit/>
          <w:trHeight w:val="12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Ед. изм. /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2029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2031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2032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bCs/>
              </w:rPr>
            </w:pPr>
            <w:r w:rsidRPr="00C063D2">
              <w:rPr>
                <w:b/>
                <w:bCs/>
                <w:sz w:val="22"/>
                <w:szCs w:val="22"/>
              </w:rPr>
              <w:t>2034</w:t>
            </w:r>
          </w:p>
        </w:tc>
      </w:tr>
      <w:tr w:rsidR="00391402" w:rsidRPr="00C063D2" w:rsidTr="003A788C">
        <w:trPr>
          <w:gridAfter w:val="1"/>
          <w:wAfter w:w="8" w:type="dxa"/>
          <w:cantSplit/>
          <w:trHeight w:val="3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4.1.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Базовый уровень операционных расходов, который устанавливается на первый год действия концессионного соглашения</w:t>
            </w:r>
          </w:p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 xml:space="preserve"> (расчет базового уровня операционных расходов в последующие годы действия концессионного соглашения осуществляется </w:t>
            </w:r>
          </w:p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в соответствии</w:t>
            </w:r>
          </w:p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 xml:space="preserve"> с законодательством Российской Федерации</w:t>
            </w:r>
          </w:p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 xml:space="preserve"> в сфере государственного регулирования цен (тарифов)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402" w:rsidRPr="00C063D2" w:rsidRDefault="00E36FC6" w:rsidP="003A788C">
            <w:pPr>
              <w:ind w:right="113" w:hanging="189"/>
              <w:jc w:val="center"/>
            </w:pPr>
            <w:r w:rsidRPr="00C063D2">
              <w:rPr>
                <w:sz w:val="22"/>
                <w:szCs w:val="22"/>
              </w:rPr>
              <w:t>32302,71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х</w:t>
            </w:r>
          </w:p>
        </w:tc>
      </w:tr>
      <w:tr w:rsidR="00391402" w:rsidRPr="00C063D2" w:rsidTr="003A788C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4.2.</w:t>
            </w:r>
          </w:p>
        </w:tc>
        <w:tc>
          <w:tcPr>
            <w:tcW w:w="8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391402" w:rsidRPr="00C063D2" w:rsidTr="003A788C">
        <w:trPr>
          <w:gridAfter w:val="1"/>
          <w:wAfter w:w="8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r w:rsidRPr="00C063D2">
              <w:rPr>
                <w:sz w:val="22"/>
                <w:szCs w:val="22"/>
              </w:rPr>
              <w:t> </w:t>
            </w:r>
          </w:p>
        </w:tc>
      </w:tr>
      <w:tr w:rsidR="00391402" w:rsidRPr="00C063D2" w:rsidTr="003A788C">
        <w:trPr>
          <w:gridAfter w:val="1"/>
          <w:wAfter w:w="8" w:type="dxa"/>
          <w:trHeight w:val="12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4.2.1.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Доля потерь 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>воды в централизованных системах водоснабжения при транспортировке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 в общем объеме воды, поданной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 в водопроводную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0</w:t>
            </w:r>
          </w:p>
        </w:tc>
      </w:tr>
      <w:tr w:rsidR="00391402" w:rsidRPr="00C063D2" w:rsidTr="003A788C">
        <w:trPr>
          <w:gridAfter w:val="1"/>
          <w:wAfter w:w="8" w:type="dxa"/>
          <w:trHeight w:val="16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4.2.2.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Удельный расход электрической энергии, потребляемой 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в технологическом процессе подготовки питьевой воды, 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на единицу объема  воды, отпускаемой 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>в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кВт.ч/м3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</w:tr>
      <w:tr w:rsidR="00391402" w:rsidRPr="00C063D2" w:rsidTr="003A788C">
        <w:trPr>
          <w:gridAfter w:val="1"/>
          <w:wAfter w:w="8" w:type="dxa"/>
          <w:trHeight w:val="1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 xml:space="preserve">Удельный расход электрической энергии, потребляемой </w:t>
            </w:r>
          </w:p>
          <w:p w:rsidR="00391402" w:rsidRPr="00C063D2" w:rsidRDefault="00391402" w:rsidP="003A788C">
            <w:pPr>
              <w:jc w:val="center"/>
              <w:rPr>
                <w:color w:val="000000"/>
              </w:rPr>
            </w:pPr>
            <w:r w:rsidRPr="00C063D2">
              <w:rPr>
                <w:color w:val="000000"/>
                <w:sz w:val="22"/>
                <w:szCs w:val="22"/>
              </w:rPr>
              <w:t>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кВт.ч/м4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-</w:t>
            </w:r>
          </w:p>
        </w:tc>
      </w:tr>
      <w:tr w:rsidR="00391402" w:rsidRPr="00C063D2" w:rsidTr="003A788C">
        <w:trPr>
          <w:gridAfter w:val="1"/>
          <w:wAfter w:w="8" w:type="dxa"/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4.3.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</w:pPr>
            <w:r w:rsidRPr="00C063D2">
              <w:rPr>
                <w:sz w:val="22"/>
                <w:szCs w:val="22"/>
              </w:rPr>
              <w:t>1</w:t>
            </w:r>
          </w:p>
        </w:tc>
      </w:tr>
    </w:tbl>
    <w:p w:rsidR="00391402" w:rsidRPr="00C063D2" w:rsidRDefault="00391402" w:rsidP="00391402">
      <w:pPr>
        <w:ind w:left="710"/>
        <w:jc w:val="both"/>
        <w:rPr>
          <w:rFonts w:eastAsiaTheme="minorHAnsi"/>
          <w:lang w:eastAsia="en-US"/>
        </w:rPr>
      </w:pPr>
    </w:p>
    <w:p w:rsidR="00391402" w:rsidRPr="00C063D2" w:rsidRDefault="00391402" w:rsidP="00FB6678">
      <w:pPr>
        <w:jc w:val="both"/>
        <w:rPr>
          <w:rFonts w:eastAsiaTheme="minorHAnsi"/>
          <w:lang w:eastAsia="en-US"/>
        </w:rPr>
      </w:pPr>
    </w:p>
    <w:p w:rsidR="00391402" w:rsidRPr="00C063D2" w:rsidRDefault="00391402" w:rsidP="00391402">
      <w:pPr>
        <w:jc w:val="center"/>
        <w:rPr>
          <w:rFonts w:eastAsiaTheme="minorHAnsi"/>
          <w:lang w:eastAsia="en-US"/>
        </w:rPr>
      </w:pPr>
      <w:r w:rsidRPr="00C063D2">
        <w:rPr>
          <w:rFonts w:eastAsiaTheme="minorHAnsi"/>
          <w:lang w:eastAsia="en-US"/>
        </w:rPr>
        <w:t xml:space="preserve">5. Плановые значения показателей деятельности концессионера: </w:t>
      </w:r>
    </w:p>
    <w:p w:rsidR="00391402" w:rsidRPr="00C063D2" w:rsidRDefault="00391402" w:rsidP="00391402">
      <w:pPr>
        <w:jc w:val="center"/>
        <w:rPr>
          <w:rFonts w:eastAsiaTheme="minorHAnsi"/>
          <w:lang w:eastAsia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242"/>
        <w:gridCol w:w="567"/>
        <w:gridCol w:w="397"/>
        <w:gridCol w:w="28"/>
        <w:gridCol w:w="475"/>
        <w:gridCol w:w="28"/>
        <w:gridCol w:w="463"/>
        <w:gridCol w:w="77"/>
        <w:gridCol w:w="512"/>
        <w:gridCol w:w="19"/>
        <w:gridCol w:w="563"/>
        <w:gridCol w:w="40"/>
        <w:gridCol w:w="492"/>
        <w:gridCol w:w="39"/>
        <w:gridCol w:w="464"/>
        <w:gridCol w:w="67"/>
        <w:gridCol w:w="377"/>
        <w:gridCol w:w="150"/>
        <w:gridCol w:w="538"/>
        <w:gridCol w:w="435"/>
        <w:gridCol w:w="17"/>
        <w:gridCol w:w="39"/>
        <w:gridCol w:w="439"/>
        <w:gridCol w:w="35"/>
        <w:gridCol w:w="27"/>
        <w:gridCol w:w="345"/>
        <w:gridCol w:w="73"/>
        <w:gridCol w:w="17"/>
        <w:gridCol w:w="506"/>
      </w:tblGrid>
      <w:tr w:rsidR="00391402" w:rsidRPr="00C063D2" w:rsidTr="003A788C">
        <w:trPr>
          <w:cantSplit/>
          <w:trHeight w:val="1134"/>
        </w:trPr>
        <w:tc>
          <w:tcPr>
            <w:tcW w:w="474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91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589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582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532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503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688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491" w:type="dxa"/>
            <w:gridSpan w:val="3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474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445" w:type="dxa"/>
            <w:gridSpan w:val="3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523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3D2">
              <w:rPr>
                <w:b/>
                <w:sz w:val="18"/>
                <w:szCs w:val="18"/>
              </w:rPr>
              <w:t>2034</w:t>
            </w:r>
          </w:p>
        </w:tc>
      </w:tr>
      <w:tr w:rsidR="00391402" w:rsidRPr="00C063D2" w:rsidTr="003A788C">
        <w:trPr>
          <w:trHeight w:val="540"/>
        </w:trPr>
        <w:tc>
          <w:tcPr>
            <w:tcW w:w="474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1.</w:t>
            </w:r>
          </w:p>
        </w:tc>
        <w:tc>
          <w:tcPr>
            <w:tcW w:w="9471" w:type="dxa"/>
            <w:gridSpan w:val="29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Показатели качества питьевой воды:</w:t>
            </w:r>
          </w:p>
        </w:tc>
      </w:tr>
      <w:tr w:rsidR="00391402" w:rsidRPr="00C063D2" w:rsidTr="003A788C">
        <w:trPr>
          <w:trHeight w:val="1920"/>
        </w:trPr>
        <w:tc>
          <w:tcPr>
            <w:tcW w:w="474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Доля проб питьевой воды в распределительной водопроводной сети,</w:t>
            </w:r>
          </w:p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color w:val="000000"/>
                <w:sz w:val="18"/>
                <w:szCs w:val="18"/>
              </w:rPr>
            </w:pPr>
            <w:r w:rsidRPr="00C063D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3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3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1</w:t>
            </w:r>
          </w:p>
        </w:tc>
      </w:tr>
      <w:tr w:rsidR="00391402" w:rsidRPr="00C063D2" w:rsidTr="003A788C">
        <w:trPr>
          <w:trHeight w:val="540"/>
        </w:trPr>
        <w:tc>
          <w:tcPr>
            <w:tcW w:w="474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2.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Показатели надежности и бесперебойности холодного водоснабжения</w:t>
            </w:r>
          </w:p>
        </w:tc>
      </w:tr>
      <w:tr w:rsidR="00391402" w:rsidRPr="00C063D2" w:rsidTr="003A788C">
        <w:trPr>
          <w:cantSplit/>
          <w:trHeight w:val="2220"/>
        </w:trPr>
        <w:tc>
          <w:tcPr>
            <w:tcW w:w="474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 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 xml:space="preserve">Количество перерывов </w:t>
            </w:r>
          </w:p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 xml:space="preserve">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1402" w:rsidRPr="00C063D2" w:rsidRDefault="00391402" w:rsidP="003A788C">
            <w:pPr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ед./км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0,64</w:t>
            </w:r>
          </w:p>
        </w:tc>
        <w:tc>
          <w:tcPr>
            <w:tcW w:w="531" w:type="dxa"/>
            <w:gridSpan w:val="3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0,63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0,63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0,62</w:t>
            </w:r>
          </w:p>
        </w:tc>
        <w:tc>
          <w:tcPr>
            <w:tcW w:w="603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0,62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0,61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0,61</w:t>
            </w:r>
          </w:p>
        </w:tc>
        <w:tc>
          <w:tcPr>
            <w:tcW w:w="527" w:type="dxa"/>
            <w:gridSpan w:val="2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0,60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0,59</w:t>
            </w:r>
          </w:p>
        </w:tc>
        <w:tc>
          <w:tcPr>
            <w:tcW w:w="557" w:type="dxa"/>
            <w:gridSpan w:val="5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0,59</w:t>
            </w:r>
          </w:p>
        </w:tc>
        <w:tc>
          <w:tcPr>
            <w:tcW w:w="435" w:type="dxa"/>
            <w:gridSpan w:val="3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0,58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91402" w:rsidRPr="00C063D2" w:rsidRDefault="00391402" w:rsidP="003A78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3D2">
              <w:rPr>
                <w:sz w:val="18"/>
                <w:szCs w:val="18"/>
              </w:rPr>
              <w:t>0,58</w:t>
            </w:r>
          </w:p>
        </w:tc>
      </w:tr>
    </w:tbl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C063D2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  <w:r w:rsidRPr="00C063D2">
        <w:rPr>
          <w:rFonts w:eastAsiaTheme="minorHAnsi"/>
          <w:lang w:eastAsia="en-US"/>
        </w:rPr>
        <w:t>6. Плата концедента – 0,00 руб.</w:t>
      </w: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391402" w:rsidRPr="00B26E0B" w:rsidRDefault="00391402" w:rsidP="00391402">
      <w:pPr>
        <w:ind w:firstLine="709"/>
        <w:jc w:val="both"/>
        <w:rPr>
          <w:rFonts w:eastAsiaTheme="minorHAnsi"/>
          <w:lang w:eastAsia="en-US"/>
        </w:rPr>
      </w:pPr>
    </w:p>
    <w:p w:rsidR="000B11E5" w:rsidRPr="004951C4" w:rsidRDefault="000B11E5" w:rsidP="004951C4">
      <w:pPr>
        <w:jc w:val="center"/>
        <w:rPr>
          <w:b/>
        </w:rPr>
      </w:pPr>
    </w:p>
    <w:sectPr w:rsidR="000B11E5" w:rsidRPr="004951C4" w:rsidSect="004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5015"/>
    <w:multiLevelType w:val="hybridMultilevel"/>
    <w:tmpl w:val="BF6AF512"/>
    <w:lvl w:ilvl="0" w:tplc="F77AB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0E2E"/>
    <w:rsid w:val="000010F5"/>
    <w:rsid w:val="00004A1D"/>
    <w:rsid w:val="00060558"/>
    <w:rsid w:val="000A79B2"/>
    <w:rsid w:val="000B11E5"/>
    <w:rsid w:val="00391402"/>
    <w:rsid w:val="003A4A0C"/>
    <w:rsid w:val="004450EF"/>
    <w:rsid w:val="00470628"/>
    <w:rsid w:val="004951C4"/>
    <w:rsid w:val="004E17CF"/>
    <w:rsid w:val="00530D35"/>
    <w:rsid w:val="0054040B"/>
    <w:rsid w:val="00547FFB"/>
    <w:rsid w:val="00594D45"/>
    <w:rsid w:val="00596DFC"/>
    <w:rsid w:val="005F1DA1"/>
    <w:rsid w:val="00701BF6"/>
    <w:rsid w:val="00713B47"/>
    <w:rsid w:val="00721F74"/>
    <w:rsid w:val="00740E2E"/>
    <w:rsid w:val="00761111"/>
    <w:rsid w:val="008C2ED1"/>
    <w:rsid w:val="00975D8D"/>
    <w:rsid w:val="009A7FA7"/>
    <w:rsid w:val="00A17B60"/>
    <w:rsid w:val="00A64797"/>
    <w:rsid w:val="00AC52BF"/>
    <w:rsid w:val="00BE7C38"/>
    <w:rsid w:val="00C063D2"/>
    <w:rsid w:val="00D05648"/>
    <w:rsid w:val="00D25C02"/>
    <w:rsid w:val="00D65775"/>
    <w:rsid w:val="00E36FC6"/>
    <w:rsid w:val="00F22EE2"/>
    <w:rsid w:val="00F45F3C"/>
    <w:rsid w:val="00FB6678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E5"/>
    <w:pPr>
      <w:suppressAutoHyphens w:val="0"/>
      <w:ind w:left="720"/>
      <w:contextualSpacing/>
    </w:pPr>
    <w:rPr>
      <w:noProof/>
      <w:sz w:val="20"/>
      <w:szCs w:val="20"/>
      <w:lang w:val="en-US" w:eastAsia="ru-RU"/>
    </w:rPr>
  </w:style>
  <w:style w:type="table" w:styleId="a4">
    <w:name w:val="Table Grid"/>
    <w:basedOn w:val="a1"/>
    <w:uiPriority w:val="39"/>
    <w:rsid w:val="00A6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2021-12-20T07:32:00Z</dcterms:created>
  <dcterms:modified xsi:type="dcterms:W3CDTF">2022-04-20T03:28:00Z</dcterms:modified>
</cp:coreProperties>
</file>