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   12 февраля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15 февраля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92 от 20.01.2016 г., Приказ МП «Департамента недвижимости» г. Шарыпово № 35 от 21.01.2016 г.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Любченко Сергей Валерьевич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И.о. директора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Жилейкин Александр Семенович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Заместитель директора по общим вопросам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Ерошкина Екатерина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hyperlink r:id="rId3">
        <w:r>
          <w:rPr>
            <w:color w:val="000000"/>
          </w:rPr>
          <w:t xml:space="preserve">., </w:t>
        </w:r>
      </w:hyperlink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Часть нежилого помещения № 1 (комната № 4), площадью 21,3 кв.м, </w:t>
            </w:r>
            <w:r>
              <w:rPr>
                <w:rFonts w:eastAsia="Calibri"/>
                <w:lang w:eastAsia="en-US"/>
              </w:rPr>
              <w:t>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rPr/>
            </w:pPr>
            <w:r>
              <w:rPr/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21,3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6 000,00</w:t>
            </w:r>
          </w:p>
        </w:tc>
      </w:tr>
    </w:tbl>
    <w:p>
      <w:pPr>
        <w:pStyle w:val="Normal"/>
        <w:rPr/>
      </w:pPr>
      <w:r>
        <w:rPr>
          <w:b/>
        </w:rPr>
        <w:t>Срок действия договора аренды для лота № 1 - 5 (пять) лет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>проводилась комиссией в период с 10 часов 00 минут местного времени 12 февраля 2016 года и до 10 часов 10 минут местного времени 12 февраля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>в открытом аукционе с 09:00 часов местного времени 22.01.2016 года и до даты окончания срока подачи заявок до 17:00 часов местного времени 11.02.2016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bookmarkStart w:id="0" w:name="__DdeLink__2358_306396930"/>
            <w:bookmarkEnd w:id="0"/>
            <w:r>
              <w:rPr>
                <w:b/>
              </w:rPr>
              <w:t>Остапенко Дмитрий Анатольевич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Шарыпово, рп. Дубинино, ул. Комсомольская, д. 20, кв. 45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>заявка на участие, опись документов входящих в состав заявки, копия паспорта, копия ИНН.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Остапенко Дмитрия Анатольевича.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1 Остапенко Дмитрий Анатольевич – 6 0</w:t>
      </w:r>
      <w:r>
        <w:rPr>
          <w:rFonts w:eastAsia="Calibri"/>
          <w:b/>
          <w:lang w:eastAsia="en-US"/>
        </w:rPr>
        <w:t xml:space="preserve">00,00 </w:t>
      </w:r>
      <w:r>
        <w:rPr>
          <w:b/>
        </w:rPr>
        <w:t>руб. в месяц. Срок аренды – 5 (пять) лет.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12.02.2016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4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1" w:name="__DdeLink__3460_306396930"/>
      <w:r>
        <w:rPr>
          <w:color w:val="000000"/>
          <w:u w:val="single"/>
        </w:rPr>
        <w:t>www.gorodsharypovo.ru</w:t>
      </w:r>
      <w:bookmarkEnd w:id="1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Любченко Сергей Валерьевич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 xml:space="preserve">:             ___________________ Жилейкин Александр Семенович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Ерошкина Екатерина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«12» февраля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2" w:name="_GoBack"/>
            <w:bookmarkEnd w:id="2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28.01.2016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11:00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3" w:type="dxa"/>
            </w:tcMar>
          </w:tcPr>
          <w:p>
            <w:pPr>
              <w:pStyle w:val="Style23"/>
              <w:ind w:lef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Остапенко Дмитрий Анатольевич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://www.torgi.gov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97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2016-02-08T14:42:58Z</cp:lastPrinted>
  <dcterms:modified xsi:type="dcterms:W3CDTF">2016-02-08T15:14:31Z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