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Normal"/>
        <w:jc w:val="center"/>
        <w:rPr>
          <w:rFonts w:ascii="Times New Roman" w:hAnsi="Times New Roman" w:eastAsia="Calibri" w:cs="Times New Roman"/>
          <w:b/>
          <w:b/>
          <w:sz w:val="24"/>
          <w:szCs w:val="24"/>
          <w:lang w:val="en-US" w:eastAsia="en-US"/>
        </w:rPr>
      </w:pPr>
      <w:r>
        <w:rPr>
          <w:rFonts w:eastAsia="Calibri" w:cs="Times New Roman" w:ascii="Times New Roman" w:hAnsi="Times New Roman"/>
          <w:b/>
          <w:sz w:val="24"/>
          <w:szCs w:val="24"/>
          <w:lang w:val="en-US" w:eastAsia="en-US"/>
        </w:rPr>
      </w:r>
    </w:p>
    <w:p>
      <w:pPr>
        <w:pStyle w:val="ConsNormal"/>
        <w:jc w:val="center"/>
        <w:rPr/>
      </w:pPr>
      <w:r>
        <w:rPr>
          <w:rFonts w:eastAsia="Calibri" w:cs="Times New Roman" w:ascii="Times New Roman" w:hAnsi="Times New Roman"/>
          <w:sz w:val="24"/>
          <w:szCs w:val="24"/>
          <w:lang w:eastAsia="en-US"/>
        </w:rPr>
        <w:br/>
      </w:r>
      <w:hyperlink r:id="rId2">
        <w:r>
          <w:rPr>
            <w:rStyle w:val="Style12"/>
            <w:rFonts w:eastAsia="Calibri" w:cs="Times New Roman" w:ascii="arial;sans-serif" w:hAnsi="arial;sans-serif"/>
            <w:b w:val="false"/>
            <w:i w:val="false"/>
            <w:caps w:val="false"/>
            <w:smallCaps w:val="false"/>
            <w:color w:val="0563C1"/>
            <w:spacing w:val="0"/>
            <w:sz w:val="23"/>
            <w:szCs w:val="24"/>
            <w:highlight w:val="white"/>
            <w:u w:val="single"/>
            <w:lang w:eastAsia="en-US"/>
          </w:rPr>
          <w:t>http://www.gorodsharypovo.ru/news-by-category/standart_konkurenciya/</w:t>
        </w:r>
      </w:hyperlink>
    </w:p>
    <w:p>
      <w:pPr>
        <w:pStyle w:val="ConsNormal"/>
        <w:jc w:val="center"/>
        <w:rPr>
          <w:rFonts w:ascii="Times New Roman" w:hAnsi="Times New Roman" w:eastAsia="Calibri" w:cs="Times New Roman"/>
          <w:b w:val="false"/>
          <w:i w:val="false"/>
          <w:caps w:val="false"/>
          <w:smallCaps w:val="false"/>
          <w:color w:val="0563C1"/>
          <w:spacing w:val="0"/>
          <w:sz w:val="24"/>
          <w:szCs w:val="24"/>
          <w:highlight w:val="white"/>
          <w:u w:val="single"/>
          <w:lang w:eastAsia="en-US"/>
        </w:rPr>
      </w:pPr>
      <w:r>
        <w:rPr/>
      </w:r>
    </w:p>
    <w:p>
      <w:pPr>
        <w:pStyle w:val="ConsNormal"/>
        <w:jc w:val="center"/>
        <w:rPr>
          <w:rFonts w:ascii="Times New Roman" w:hAnsi="Times New Roman" w:cs="Times New Roman"/>
          <w:bCs/>
          <w:sz w:val="24"/>
          <w:szCs w:val="24"/>
        </w:rPr>
      </w:pPr>
      <w:r>
        <w:rPr>
          <w:rFonts w:eastAsia="Calibri" w:cs="Times New Roman" w:ascii="Times New Roman" w:hAnsi="Times New Roman"/>
          <w:sz w:val="24"/>
          <w:szCs w:val="24"/>
          <w:lang w:eastAsia="en-US"/>
        </w:rPr>
        <w:t xml:space="preserve">Отчет о достижении </w:t>
      </w:r>
      <w:r>
        <w:rPr>
          <w:rFonts w:eastAsia="Calibri" w:cs="Times New Roman" w:ascii="Times New Roman" w:hAnsi="Times New Roman"/>
          <w:bCs/>
          <w:sz w:val="24"/>
          <w:szCs w:val="24"/>
          <w:lang w:eastAsia="en-US"/>
        </w:rPr>
        <w:t xml:space="preserve">ключевых показателей развития конкуренции </w:t>
      </w:r>
    </w:p>
    <w:p>
      <w:pPr>
        <w:pStyle w:val="ConsNormal"/>
        <w:jc w:val="center"/>
        <w:rPr>
          <w:rFonts w:ascii="Times New Roman" w:hAnsi="Times New Roman" w:cs="Times New Roman"/>
          <w:sz w:val="24"/>
          <w:szCs w:val="24"/>
        </w:rPr>
      </w:pPr>
      <w:r>
        <w:rPr>
          <w:rFonts w:eastAsia="Calibri" w:cs="Times New Roman" w:ascii="Times New Roman" w:hAnsi="Times New Roman"/>
          <w:bCs/>
          <w:sz w:val="24"/>
          <w:szCs w:val="24"/>
          <w:lang w:eastAsia="en-US"/>
        </w:rPr>
        <w:t xml:space="preserve">в отраслях (сферах, товарных рынках) и исполнении плана мероприятий («дорожной карты») содействия развитию конкуренции   </w:t>
      </w:r>
      <w:r>
        <w:rPr>
          <w:rFonts w:cs="Times New Roman" w:ascii="Times New Roman" w:hAnsi="Times New Roman"/>
          <w:sz w:val="24"/>
          <w:szCs w:val="24"/>
        </w:rPr>
        <w:t>на территории городского округа города Шарыпово Красноярского края</w:t>
      </w:r>
      <w:r>
        <w:rPr>
          <w:rFonts w:eastAsia="Calibri" w:cs="Times New Roman" w:ascii="Times New Roman" w:hAnsi="Times New Roman"/>
          <w:bCs/>
          <w:sz w:val="24"/>
          <w:szCs w:val="24"/>
          <w:lang w:eastAsia="en-US"/>
        </w:rPr>
        <w:t xml:space="preserve"> за </w:t>
      </w:r>
      <w:r>
        <w:rPr>
          <w:rFonts w:eastAsia="Calibri" w:cs="Times New Roman" w:ascii="Times New Roman" w:hAnsi="Times New Roman"/>
          <w:b/>
          <w:sz w:val="24"/>
          <w:szCs w:val="24"/>
          <w:lang w:eastAsia="en-US"/>
        </w:rPr>
        <w:t xml:space="preserve">2021 </w:t>
      </w:r>
      <w:r>
        <w:rPr>
          <w:rFonts w:eastAsia="Calibri" w:cs="Times New Roman" w:ascii="Times New Roman" w:hAnsi="Times New Roman"/>
          <w:bCs/>
          <w:sz w:val="24"/>
          <w:szCs w:val="24"/>
          <w:lang w:eastAsia="en-US"/>
        </w:rPr>
        <w:t xml:space="preserve">год </w:t>
      </w:r>
    </w:p>
    <w:p>
      <w:pPr>
        <w:pStyle w:val="ConsNormal"/>
        <w:jc w:val="center"/>
        <w:rPr>
          <w:rFonts w:ascii="Times New Roman" w:hAnsi="Times New Roman" w:eastAsia="Calibri" w:cs="Times New Roman"/>
          <w:b/>
          <w:b/>
          <w:sz w:val="24"/>
          <w:szCs w:val="24"/>
          <w:lang w:eastAsia="en-US"/>
        </w:rPr>
      </w:pPr>
      <w:r>
        <w:rPr>
          <w:rFonts w:eastAsia="Calibri" w:cs="Times New Roman" w:ascii="Times New Roman" w:hAnsi="Times New Roman"/>
          <w:b/>
          <w:sz w:val="24"/>
          <w:szCs w:val="24"/>
          <w:lang w:eastAsia="en-US"/>
        </w:rPr>
      </w:r>
    </w:p>
    <w:p>
      <w:pPr>
        <w:pStyle w:val="ConsNormal"/>
        <w:jc w:val="center"/>
        <w:rPr>
          <w:rFonts w:ascii="Times New Roman" w:hAnsi="Times New Roman" w:eastAsia="Calibri" w:cs="Times New Roman"/>
          <w:b/>
          <w:b/>
          <w:lang w:eastAsia="en-US"/>
        </w:rPr>
      </w:pPr>
      <w:r>
        <w:rPr>
          <w:rFonts w:eastAsia="Calibri" w:cs="Times New Roman" w:ascii="Times New Roman" w:hAnsi="Times New Roman"/>
          <w:b/>
          <w:lang w:eastAsia="en-US"/>
        </w:rPr>
      </w:r>
    </w:p>
    <w:tbl>
      <w:tblPr>
        <w:tblW w:w="14870" w:type="dxa"/>
        <w:jc w:val="left"/>
        <w:tblInd w:w="-11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1" w:val="04a0" w:noHBand="0" w:lastColumn="0" w:firstColumn="1" w:lastRow="0" w:firstRow="1"/>
      </w:tblPr>
      <w:tblGrid>
        <w:gridCol w:w="675"/>
        <w:gridCol w:w="2773"/>
        <w:gridCol w:w="1305"/>
        <w:gridCol w:w="3571"/>
        <w:gridCol w:w="1470"/>
        <w:gridCol w:w="1410"/>
        <w:gridCol w:w="2"/>
        <w:gridCol w:w="3663"/>
      </w:tblGrid>
      <w:tr>
        <w:trPr>
          <w:trHeight w:val="540" w:hRule="atLeast"/>
        </w:trPr>
        <w:tc>
          <w:tcPr>
            <w:tcW w:w="67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sz w:val="18"/>
                <w:szCs w:val="18"/>
              </w:rPr>
            </w:pPr>
            <w:r>
              <w:rPr>
                <w:rFonts w:eastAsia="Calibri" w:cs="Times New Roman" w:ascii="Times New Roman" w:hAnsi="Times New Roman"/>
                <w:sz w:val="18"/>
                <w:szCs w:val="18"/>
                <w:lang w:eastAsia="en-US"/>
              </w:rPr>
              <w:t>№</w:t>
            </w:r>
          </w:p>
          <w:p>
            <w:pPr>
              <w:pStyle w:val="ConsNormal"/>
              <w:widowControl w:val="false"/>
              <w:ind w:hanging="0"/>
              <w:rPr>
                <w:rFonts w:ascii="Times New Roman" w:hAnsi="Times New Roman" w:cs="Times New Roman"/>
                <w:sz w:val="18"/>
                <w:szCs w:val="18"/>
              </w:rPr>
            </w:pPr>
            <w:r>
              <w:rPr>
                <w:rFonts w:eastAsia="Calibri" w:cs="Times New Roman" w:ascii="Times New Roman" w:hAnsi="Times New Roman"/>
                <w:sz w:val="18"/>
                <w:szCs w:val="18"/>
                <w:lang w:eastAsia="en-US"/>
              </w:rPr>
              <w:t>п/п</w:t>
            </w:r>
          </w:p>
        </w:tc>
        <w:tc>
          <w:tcPr>
            <w:tcW w:w="277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 xml:space="preserve">Наименование </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мероприятия</w:t>
            </w:r>
          </w:p>
        </w:tc>
        <w:tc>
          <w:tcPr>
            <w:tcW w:w="130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Срок</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исполнения</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мероприятия</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r>
          </w:p>
        </w:tc>
        <w:tc>
          <w:tcPr>
            <w:tcW w:w="3571"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sz w:val="18"/>
                <w:szCs w:val="18"/>
              </w:rPr>
            </w:pPr>
            <w:r>
              <w:rPr>
                <w:rFonts w:eastAsia="Calibri" w:cs="Times New Roman" w:ascii="Times New Roman" w:hAnsi="Times New Roman"/>
                <w:sz w:val="18"/>
                <w:szCs w:val="18"/>
                <w:lang w:eastAsia="en-US"/>
              </w:rPr>
              <w:t>Показателя</w:t>
            </w:r>
          </w:p>
          <w:p>
            <w:pPr>
              <w:pStyle w:val="ConsNormal"/>
              <w:widowControl w:val="false"/>
              <w:ind w:hanging="0"/>
              <w:jc w:val="center"/>
              <w:rPr>
                <w:rFonts w:ascii="Times New Roman" w:hAnsi="Times New Roman" w:cs="Times New Roman"/>
                <w:sz w:val="18"/>
                <w:szCs w:val="18"/>
              </w:rPr>
            </w:pPr>
            <w:r>
              <w:rPr>
                <w:rFonts w:eastAsia="Calibri" w:cs="Times New Roman" w:ascii="Times New Roman" w:hAnsi="Times New Roman"/>
                <w:sz w:val="18"/>
                <w:szCs w:val="18"/>
                <w:lang w:eastAsia="en-US"/>
              </w:rPr>
              <w:t xml:space="preserve">(наименование, </w:t>
              <w:br/>
              <w:t>единицы измерения)</w:t>
            </w:r>
          </w:p>
        </w:tc>
        <w:tc>
          <w:tcPr>
            <w:tcW w:w="2882" w:type="dxa"/>
            <w:gridSpan w:val="3"/>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Целевые значения показателя</w:t>
            </w:r>
          </w:p>
        </w:tc>
        <w:tc>
          <w:tcPr>
            <w:tcW w:w="366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Результат выполнения мероприятий</w:t>
            </w:r>
          </w:p>
          <w:p>
            <w:pPr>
              <w:pStyle w:val="Normal"/>
              <w:widowControl w:val="false"/>
              <w:jc w:val="right"/>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67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277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30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57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Ключевые показатели</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 xml:space="preserve">(план) по состоянию </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на 01.01.2022</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Достижение ключевых показателей (факт)</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 xml:space="preserve">по состоянию </w:t>
            </w:r>
          </w:p>
          <w:p>
            <w:pPr>
              <w:pStyle w:val="ConsNormal"/>
              <w:widowControl w:val="false"/>
              <w:ind w:hanging="0"/>
              <w:jc w:val="center"/>
              <w:rPr>
                <w:rFonts w:ascii="Times New Roman" w:hAnsi="Times New Roman" w:eastAsia="Calibri" w:cs="Times New Roman"/>
                <w:sz w:val="18"/>
                <w:szCs w:val="18"/>
                <w:lang w:eastAsia="en-US"/>
              </w:rPr>
            </w:pPr>
            <w:r>
              <w:rPr>
                <w:rFonts w:eastAsia="Calibri" w:cs="Times New Roman" w:ascii="Times New Roman" w:hAnsi="Times New Roman"/>
                <w:sz w:val="18"/>
                <w:szCs w:val="18"/>
                <w:lang w:eastAsia="en-US"/>
              </w:rPr>
              <w:t>на 01.01.2022</w:t>
            </w:r>
          </w:p>
        </w:tc>
        <w:tc>
          <w:tcPr>
            <w:tcW w:w="366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5"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enter" w:pos="0" w:leader="none"/>
              </w:tabs>
              <w:jc w:val="center"/>
              <w:rPr>
                <w:rFonts w:ascii="Times New Roman" w:hAnsi="Times New Roman" w:cs="Times New Roman"/>
                <w:sz w:val="20"/>
                <w:szCs w:val="20"/>
              </w:rPr>
            </w:pPr>
            <w:r>
              <w:rPr>
                <w:rFonts w:eastAsia="Calibri" w:cs="Times New Roman" w:ascii="Times New Roman" w:hAnsi="Times New Roman"/>
                <w:sz w:val="20"/>
                <w:szCs w:val="20"/>
                <w:lang w:eastAsia="en-US"/>
              </w:rPr>
              <w:t xml:space="preserve">1. </w:t>
            </w:r>
            <w:r>
              <w:rPr>
                <w:rFonts w:cs="Times New Roman" w:ascii="Times New Roman" w:hAnsi="Times New Roman"/>
                <w:sz w:val="20"/>
                <w:szCs w:val="20"/>
              </w:rPr>
              <w:t>Мероприятия по содействию развитию конкуренции на социально значимых рынках</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1.1 Рынок: </w:t>
            </w:r>
            <w:r>
              <w:rPr>
                <w:rFonts w:eastAsia="Calibri" w:cs="Times New Roman" w:ascii="Times New Roman" w:hAnsi="Times New Roman"/>
                <w:b/>
                <w:color w:val="000000"/>
                <w:lang w:eastAsia="en-US"/>
              </w:rPr>
              <w:t>Розничная торговля лекарственными препаратами, медицинскими изделиями и сопутствующими товарами</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firstLine="714"/>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В городе Шарыпово розничную торговлю лекарственными препаратами, изделиями медицинского  назначения и сопутствующими товарами осуществляют 8 хозяйствующих субъектов в 20 торговых объектах из них 18 аптек и 2 аптечных пункта. Розничную торговлю лекарственными препаратами, изделиями медицинского назначения и сопутствующими товарами в городе Шарыпово осуществляют аптеки в населенных пунктах г. Шарыпово и  п. Дубинино:  АО «Губернские аптеки» - 3, ООО «Фармакон» - 5, ООО «Серквиен» - 5, ООО «Аптека Малина» - 2, ООО «Живика» -1, ООО «Мелодия здоровья» - 2, ИП - 2». Всего  20  аптечных организаций, аптек – 18, аптечных пункта - 2). 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составляет – 100% процентов. Доля организаций частной формы увеличилась за счет закрытия организацией краевой формы собственности  «Губернские аптеки» представляющий государственный сектор.</w:t>
            </w:r>
          </w:p>
          <w:p>
            <w:pPr>
              <w:pStyle w:val="Normal"/>
              <w:ind w:firstLine="709"/>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Розничная торговля лекарственными препаратами аптечной организацией не осуществляется на территории поселка Горячегорск,  структурным подразделением наделенный правом розничной торговли лекарственными препаратами в отдаленных и малонаселенных муниципальных образованиях, где отсутствуют аптечные организации как государственные, так и частные является медицинская организация (ФАП). Подобный механизм, установленный статьей 52 Федерального закона от 12.04.2010 № 61-ФЗ «Об обращении лекарственных средств» и подзаконными актами, обеспечивает высокую доступность лекарственного обеспечения, но не ограничивает конкурентного права частных аптечных организаций.</w:t>
            </w:r>
          </w:p>
          <w:p>
            <w:pPr>
              <w:pStyle w:val="Normal"/>
              <w:ind w:firstLine="714"/>
              <w:jc w:val="both"/>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1.1.1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Мониторинг состояния развития конкуренции на рынке розничной торговли лекарственными препаратами, изделиями медицинского назначения и сопутствующими товарами</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3"/>
              <w:widowControl w:val="false"/>
              <w:numPr>
                <w:ilvl w:val="2"/>
                <w:numId w:val="2"/>
              </w:numPr>
              <w:jc w:val="center"/>
              <w:rPr>
                <w:rFonts w:ascii="Times New Roman" w:hAnsi="Times New Roman" w:cs="Times New Roman"/>
                <w:sz w:val="20"/>
                <w:szCs w:val="20"/>
              </w:rPr>
            </w:pPr>
            <w:r>
              <w:rPr>
                <w:rFonts w:cs="Times New Roman" w:ascii="Times New Roman" w:hAnsi="Times New Roman"/>
                <w:b w:val="false"/>
                <w:bCs w:val="false"/>
                <w:sz w:val="20"/>
                <w:szCs w:val="20"/>
              </w:rPr>
              <w:t>Анализ рынка услуг</w:t>
            </w:r>
          </w:p>
          <w:p>
            <w:pPr>
              <w:pStyle w:val="3"/>
              <w:widowControl w:val="false"/>
              <w:numPr>
                <w:ilvl w:val="2"/>
                <w:numId w:val="2"/>
              </w:numPr>
              <w:jc w:val="center"/>
              <w:rPr>
                <w:rFonts w:ascii="Times New Roman" w:hAnsi="Times New Roman" w:cs="Times New Roman"/>
                <w:sz w:val="20"/>
                <w:szCs w:val="20"/>
              </w:rPr>
            </w:pPr>
            <w:r>
              <w:rPr>
                <w:rFonts w:eastAsia="Calibri" w:cs="Times New Roman" w:ascii="Times New Roman" w:hAnsi="Times New Roman"/>
                <w:b w:val="false"/>
                <w:bCs w:val="false"/>
                <w:sz w:val="20"/>
                <w:szCs w:val="20"/>
                <w:lang w:eastAsia="en-US"/>
              </w:rPr>
              <w:t>розничной торговли лекарственными средствами, изделиями медицинского назначения и сопутствующими товарами проводится 1 раз год (подлежит размещению на официальном сайте Администрации города Шарыпово (www.gorodsharypovo.ru)</w:t>
            </w:r>
          </w:p>
        </w:tc>
        <w:tc>
          <w:tcPr>
            <w:tcW w:w="147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89%</w:t>
            </w:r>
          </w:p>
        </w:tc>
        <w:tc>
          <w:tcPr>
            <w:tcW w:w="141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100%</w:t>
            </w:r>
          </w:p>
        </w:tc>
        <w:tc>
          <w:tcPr>
            <w:tcW w:w="366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3"/>
              <w:widowControl w:val="false"/>
              <w:numPr>
                <w:ilvl w:val="2"/>
                <w:numId w:val="2"/>
              </w:numPr>
              <w:jc w:val="both"/>
              <w:rPr>
                <w:rFonts w:ascii="Times New Roman" w:hAnsi="Times New Roman" w:cs="Times New Roman"/>
                <w:sz w:val="20"/>
                <w:szCs w:val="20"/>
              </w:rPr>
            </w:pPr>
            <w:r>
              <w:rPr>
                <w:rFonts w:cs="Times New Roman" w:ascii="Times New Roman" w:hAnsi="Times New Roman"/>
                <w:b w:val="false"/>
                <w:bCs w:val="false"/>
                <w:sz w:val="20"/>
                <w:szCs w:val="20"/>
              </w:rPr>
              <w:t xml:space="preserve">Анализ рынка услуг </w:t>
            </w:r>
            <w:r>
              <w:rPr>
                <w:rFonts w:eastAsia="Calibri" w:cs="Times New Roman" w:ascii="Times New Roman" w:hAnsi="Times New Roman"/>
                <w:b w:val="false"/>
                <w:bCs w:val="false"/>
                <w:sz w:val="20"/>
                <w:szCs w:val="20"/>
                <w:lang w:eastAsia="en-US"/>
              </w:rPr>
              <w:t>розничной торговли лекарственными средствами, изделиями медицинского назначения и сопутствующими товарами проведен в 4 квартале 2021 года. Данные обновлены и занесены в Торговый реестр.</w:t>
            </w:r>
          </w:p>
          <w:p>
            <w:pPr>
              <w:pStyle w:val="Normal"/>
              <w:widowControl w:val="false"/>
              <w:ind w:firstLine="708"/>
              <w:jc w:val="both"/>
              <w:rPr/>
            </w:pPr>
            <w:r>
              <w:rPr>
                <w:rFonts w:eastAsia="Calibri" w:cs="Times New Roman" w:ascii="Times New Roman" w:hAnsi="Times New Roman"/>
                <w:sz w:val="20"/>
                <w:szCs w:val="20"/>
                <w:lang w:eastAsia="en-US"/>
              </w:rPr>
              <w:t>Торговый реестр аптек действующих на территории города Шарыпово размещен на официальном сайте Администрации города Шарыпово (</w:t>
            </w:r>
            <w:hyperlink r:id="rId3">
              <w:r>
                <w:rPr>
                  <w:rStyle w:val="ListLabel1"/>
                  <w:rFonts w:eastAsia="Calibri" w:cs="Times New Roman" w:ascii="Times New Roman" w:hAnsi="Times New Roman"/>
                  <w:sz w:val="20"/>
                  <w:szCs w:val="20"/>
                  <w:lang w:eastAsia="en-US"/>
                </w:rPr>
                <w:t>www.gorodsharypovo.ru</w:t>
              </w:r>
            </w:hyperlink>
            <w:r>
              <w:rPr>
                <w:rFonts w:eastAsia="Calibri" w:cs="Times New Roman" w:ascii="Times New Roman" w:hAnsi="Times New Roman"/>
                <w:sz w:val="20"/>
                <w:szCs w:val="20"/>
                <w:lang w:eastAsia="en-US"/>
              </w:rPr>
              <w:t>) во вкладке «Новости предпринимателей».</w:t>
            </w:r>
          </w:p>
          <w:p>
            <w:pPr>
              <w:pStyle w:val="Normal"/>
              <w:widowControl w:val="false"/>
              <w:ind w:firstLine="708"/>
              <w:jc w:val="both"/>
              <w:rPr>
                <w:rFonts w:ascii="Times New Roman" w:hAnsi="Times New Roman" w:cs="Times New Roman"/>
                <w:sz w:val="20"/>
                <w:szCs w:val="20"/>
              </w:rPr>
            </w:pPr>
            <w:r>
              <w:rPr>
                <w:rFonts w:eastAsia="Calibri" w:cs="Times New Roman" w:ascii="Times New Roman" w:hAnsi="Times New Roman"/>
                <w:sz w:val="20"/>
                <w:szCs w:val="20"/>
                <w:lang w:eastAsia="en-US"/>
              </w:rPr>
              <w:t>Ссылка: http://www.gorodsharypovo.ru/news/gorodskie-novosti/show/20583/</w:t>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1.1.1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both"/>
              <w:rPr>
                <w:rFonts w:ascii="Times New Roman" w:hAnsi="Times New Roman" w:cs="Times New Roman"/>
              </w:rPr>
            </w:pPr>
            <w:r>
              <w:rPr>
                <w:rFonts w:cs="Times New Roman" w:ascii="Times New Roman" w:hAnsi="Times New Roman"/>
              </w:rPr>
              <w:t xml:space="preserve">Формирование и ведение торгового реестра города Шарыпово </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both"/>
              <w:rPr>
                <w:rFonts w:ascii="Times New Roman" w:hAnsi="Times New Roman" w:cs="Times New Roman"/>
              </w:rPr>
            </w:pPr>
            <w:r>
              <w:rPr>
                <w:rFonts w:eastAsia="Calibri" w:cs="Times New Roman" w:ascii="Times New Roman" w:hAnsi="Times New Roman"/>
                <w:lang w:eastAsia="en-US"/>
              </w:rPr>
              <w:t>Торговый реестр аптек действующих на территории города Шарыпово (реестр подлежит размещению на официальном сайте Администрации города Шарыпово (www.gorodsharypovo.ru)</w:t>
            </w:r>
          </w:p>
        </w:tc>
        <w:tc>
          <w:tcPr>
            <w:tcW w:w="147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1.2 Рынок: </w:t>
            </w:r>
            <w:r>
              <w:rPr>
                <w:rFonts w:eastAsia="Calibri" w:cs="Times New Roman" w:ascii="Times New Roman" w:hAnsi="Times New Roman"/>
                <w:b/>
                <w:color w:val="000000"/>
                <w:lang w:eastAsia="en-US"/>
              </w:rPr>
              <w:t>Дошкольное образование</w:t>
            </w:r>
            <w:r>
              <w:rPr>
                <w:rFonts w:eastAsia="Calibri" w:cs="Times New Roman" w:ascii="Times New Roman" w:hAnsi="Times New Roman"/>
                <w:b/>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12"/>
              <w:ind w:firstLine="708"/>
              <w:rPr>
                <w:b w:val="false"/>
                <w:b w:val="false"/>
                <w:bCs w:val="false"/>
                <w:color w:val="000000"/>
                <w:sz w:val="20"/>
                <w:szCs w:val="20"/>
              </w:rPr>
            </w:pPr>
            <w:r>
              <w:rPr>
                <w:b w:val="false"/>
                <w:bCs w:val="false"/>
                <w:color w:val="000000"/>
                <w:sz w:val="20"/>
                <w:szCs w:val="20"/>
              </w:rPr>
              <w:t>10 детских дошкольных образовательных учреждений оказывают услугу дошкольного образования. В 8 дошкольных образовательных учреждениях услуга доступна для детей в возрасте с 1 года. Во всех дошкольных образовательных учреждениях услуга предоставляется детям-инвалидам и детям с ограниченными возможностями здоровья.</w:t>
            </w:r>
          </w:p>
          <w:p>
            <w:pPr>
              <w:pStyle w:val="12"/>
              <w:ind w:firstLine="708"/>
              <w:rPr>
                <w:b w:val="false"/>
                <w:b w:val="false"/>
                <w:bCs w:val="false"/>
                <w:color w:val="000000"/>
                <w:sz w:val="20"/>
                <w:szCs w:val="20"/>
              </w:rPr>
            </w:pPr>
            <w:r>
              <w:rPr>
                <w:b w:val="false"/>
                <w:bCs w:val="false"/>
                <w:color w:val="000000"/>
                <w:sz w:val="20"/>
                <w:szCs w:val="20"/>
              </w:rPr>
              <w:t>В 9 дошкольных учреждениях города Шарыпово реализуются 26 программ дополнительного образования, организована занятость  933 детей.</w:t>
            </w:r>
          </w:p>
        </w:tc>
      </w:tr>
      <w:tr>
        <w:trPr>
          <w:trHeight w:val="152"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1.2.1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Организация мероприятий, способствующих активизации процесса лицензирования негосударственных (немуниципальных) дошкольных образовательных организаций и создание для этого условий  </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Получение лицензий   негосударственных (немуниципальных) дошкольных образовательных организаций</w:t>
            </w:r>
          </w:p>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5 ед.</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5 ед.</w:t>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r>
          </w:p>
          <w:p>
            <w:pPr>
              <w:pStyle w:val="Normal"/>
              <w:widowControl w:val="false"/>
              <w:snapToGrid w:val="false"/>
              <w:rPr>
                <w:rFonts w:ascii="Times New Roman" w:hAnsi="Times New Roman" w:eastAsia="Calibri" w:cs="Times New Roman"/>
                <w:bCs/>
                <w:sz w:val="20"/>
                <w:szCs w:val="20"/>
                <w:highlight w:val="red"/>
                <w:lang w:eastAsia="en-US"/>
              </w:rPr>
            </w:pPr>
            <w:r>
              <w:rPr>
                <w:rFonts w:eastAsia="Calibri" w:cs="Times New Roman" w:ascii="Times New Roman" w:hAnsi="Times New Roman"/>
                <w:bCs/>
                <w:sz w:val="20"/>
                <w:szCs w:val="20"/>
                <w:lang w:eastAsia="en-US"/>
              </w:rPr>
              <w:t>Обращения не поступали</w:t>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1.2.2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Оказание информационно-методической поддержки    по вопросам дошкольного образования немуниципальным организациям  </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snapToGrid w:val="false"/>
              <w:jc w:val="center"/>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r>
          </w:p>
          <w:p>
            <w:pPr>
              <w:pStyle w:val="Normal"/>
              <w:widowControl w:val="false"/>
              <w:snapToGrid w:val="false"/>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Обращения не поступали</w:t>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1.2.3</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дошкольных организаций, в части предоставления субсидий     на возмещение затрат на  осуществление деятельности   в сфере   оказания услуг  дошкольного образования</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ind w:firstLine="709"/>
              <w:jc w:val="both"/>
              <w:rPr>
                <w:rFonts w:ascii="Times New Roman" w:hAnsi="Times New Roman" w:cs="Times New Roman"/>
                <w:sz w:val="20"/>
                <w:szCs w:val="20"/>
              </w:rPr>
            </w:pPr>
            <w:r>
              <w:rPr>
                <w:rFonts w:eastAsia="Times New Roman" w:cs="Times New Roman" w:ascii="Times New Roman" w:hAnsi="Times New Roman"/>
                <w:sz w:val="20"/>
                <w:szCs w:val="20"/>
                <w:lang w:eastAsia="ru-RU"/>
              </w:rPr>
              <w:t>Проведение конкурса в соответствии с муниципальной программой «Развитие инвестиционной деятельности,  малого и среднего предпринимательства на территории муниципального образования города Шарыпово»: Субсидия на возмещение части расходов  вновь созданным  субъектам малого   предпринимательства, связанных с приобретением и созданием основных средств и началом предпринимательской деятельности, которая предоставляется на конкурсной основе.</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По факту поступления заявок</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rPr>
                <w:rFonts w:ascii="Times New Roman" w:hAnsi="Times New Roman" w:eastAsia="Calibri" w:cs="Times New Roman"/>
                <w:lang w:eastAsia="en-US"/>
              </w:rPr>
            </w:pPr>
            <w:r>
              <w:rPr>
                <w:rFonts w:eastAsia="Calibri" w:cs="Times New Roman" w:ascii="Times New Roman" w:hAnsi="Times New Roman"/>
                <w:lang w:eastAsia="en-US"/>
              </w:rPr>
              <w:t>Заявки на участие в конкурсе не поступали.</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1.3 Рынок:  </w:t>
            </w:r>
            <w:r>
              <w:rPr>
                <w:rFonts w:eastAsia="Calibri" w:cs="Times New Roman" w:ascii="Times New Roman" w:hAnsi="Times New Roman"/>
                <w:b/>
                <w:color w:val="000000"/>
                <w:lang w:eastAsia="en-US"/>
              </w:rPr>
              <w:t>Отдых и оздоровление детей</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709"/>
              <w:contextualSpacing/>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В г. Шарыпово  функционируют 2 загородных лагеря МАОУ ДООЛ «Парус», МАОУ ДООЛ «Бригантина» и палаточный лагерь «Юнармеец»  (на базе МАОУ ДООЛ «Парус»).  Доля детей  и подростков, которые могут получить услуги по организации отдыха и оздоровления в загородных детских оздоровительных лагерях от общей численности детей школьного возраста – 12,14%. Конкуренция на данном рынке отсутствует.</w:t>
            </w:r>
          </w:p>
          <w:p>
            <w:pPr>
              <w:pStyle w:val="ConsPlusNonformat"/>
              <w:ind w:firstLine="714"/>
              <w:rPr>
                <w:rFonts w:ascii="Times New Roman" w:hAnsi="Times New Roman" w:cs="Times New Roman"/>
                <w:sz w:val="20"/>
                <w:szCs w:val="20"/>
              </w:rPr>
            </w:pPr>
            <w:r>
              <w:rPr>
                <w:rFonts w:eastAsia="Calibri" w:cs="Times New Roman" w:ascii="Times New Roman" w:hAnsi="Times New Roman"/>
                <w:sz w:val="20"/>
                <w:szCs w:val="20"/>
                <w:lang w:eastAsia="en-US"/>
              </w:rPr>
              <w:t>В городе Шарыпово отсутствуют субъекты малого и среднего предпринимательства, оказывающие услуги по предоставлению мест для краткосрочного пребывания.</w:t>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1.3.1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Формирование реестра организаций отдыха детей и их оздоровления всех форм собственности </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Размещение  реестра организаций отдыха детей и их оздоровления всех форм собственности   на официальном сайте Управления образования Администрации города Шарыпово</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20%</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20%</w:t>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ind w:firstLine="708"/>
              <w:jc w:val="both"/>
              <w:rPr>
                <w:rFonts w:ascii="Times New Roman" w:hAnsi="Times New Roman" w:eastAsia="Calibri" w:cs="Times New Roman"/>
                <w:bCs/>
                <w:sz w:val="20"/>
                <w:szCs w:val="20"/>
                <w:highlight w:val="red"/>
                <w:lang w:eastAsia="en-US"/>
              </w:rPr>
            </w:pPr>
            <w:r>
              <w:rPr>
                <w:rFonts w:eastAsia="Calibri" w:cs="Times New Roman" w:ascii="Times New Roman" w:hAnsi="Times New Roman"/>
                <w:bCs/>
                <w:sz w:val="20"/>
                <w:szCs w:val="20"/>
                <w:lang w:eastAsia="en-US"/>
              </w:rPr>
              <w:t>Реестр организаций отдыха детей и их оздоровления всех форм собственности   размещен на официальном сайте Управления образованием Администрации города Шарыпово (http://sharobr.ru/wp-content/uploads/2021/02/reestr-organizaczij-otdyha-detej-i-ih-ozdorovleniya-podvedomstvennyh-upr....pdf) в разделе «Летний отдых»</w:t>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1.3.2</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Содействие развитию негосударственного сектора отдыха и оздоровления детей </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Оказание организационной, методической и общественной поддержки частных инициатив негосударственных организаций отдыха, оздоровления детей, в том числе на принципах МЧП</w:t>
            </w:r>
          </w:p>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snapToGrid w:val="false"/>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В городе Шарыпово отсутствуют субъекты малого и среднего предпринимательства, оказывающие услуги по предоставлению мест для краткосрочного пребывания.</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color w:val="000000"/>
                <w:lang w:eastAsia="en-US"/>
              </w:rPr>
              <w:t>1.4  Рынок:  Дополнительное образование детей</w:t>
            </w:r>
            <w:r>
              <w:rPr>
                <w:rFonts w:eastAsia="Calibri" w:cs="Times New Roman" w:ascii="Times New Roman" w:hAnsi="Times New Roman"/>
                <w:b/>
                <w:color w:val="C9211E"/>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ind w:firstLine="709"/>
              <w:contextualSpacing/>
              <w:jc w:val="both"/>
              <w:rPr>
                <w:rFonts w:ascii="Times New Roman" w:hAnsi="Times New Roman" w:cs="Times New Roman"/>
                <w:sz w:val="20"/>
                <w:szCs w:val="20"/>
              </w:rPr>
            </w:pPr>
            <w:r>
              <w:rPr>
                <w:rStyle w:val="Style14"/>
                <w:rFonts w:cs="Times New Roman" w:ascii="Times New Roman" w:hAnsi="Times New Roman"/>
                <w:i w:val="false"/>
                <w:iCs w:val="false"/>
                <w:color w:val="000000"/>
                <w:sz w:val="20"/>
                <w:szCs w:val="20"/>
              </w:rPr>
              <w:t>В городе Шарыпово  функционирует одно учреждение дополнительного образования –  МБОУ ДО ДЮЦ г. Шарыпово,  количество детей  2045. В 7 общеобразовательных организациях города Шарыпово созданы условия для реализации 60 программ дополнительного образования, что позволяет организовать занятость 2126 детей во внеурочное время. В 9 дошкольных образовательных учреждениях города Шарыпово реализуются 26 программ дополнительного образования, организована занятость  933 детей.  В городе Шарыпово отсутствуют субъекты малого и среднего предпринимательства, оказывающие по дополнительному образованию детей (с 2006 года).</w:t>
            </w:r>
            <w:r>
              <w:rPr>
                <w:rFonts w:eastAsia="Calibri" w:cs="Times New Roman" w:ascii="Times New Roman" w:hAnsi="Times New Roman" w:eastAsiaTheme="minorHAnsi"/>
                <w:sz w:val="20"/>
                <w:szCs w:val="20"/>
                <w:lang w:eastAsia="en-US"/>
              </w:rPr>
              <w:t xml:space="preserve"> В отрасли спорта осуществляют свою деятельность в рамках спортивной подготовки 2 спортивных учреждения: МБУ «Спортивная школа олимпийского резерва по единоборствам» г. Шарыпово и МБУ «Спортивная школа города Шарыпово», в которых занимаются 1171 человек.  </w:t>
            </w:r>
          </w:p>
          <w:p>
            <w:pPr>
              <w:pStyle w:val="ListParagraph"/>
              <w:widowControl w:val="false"/>
              <w:snapToGrid w:val="false"/>
              <w:ind w:left="0" w:firstLine="709"/>
              <w:jc w:val="both"/>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1.4.1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Формирование реестра организаций дополнительного образования всех форм собственности</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Размещение  реестра организаций дополнительного образования всех форм собственности   на официальном сайте Управления образования Администрации города Шарыпово</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sz w:val="20"/>
                <w:szCs w:val="20"/>
                <w:lang w:eastAsia="en-US" w:bidi="ar-SA"/>
              </w:rPr>
            </w:pPr>
            <w:r>
              <w:rPr>
                <w:rFonts w:eastAsia="Calibri" w:cs="Times New Roman" w:ascii="Times New Roman" w:hAnsi="Times New Roman"/>
                <w:sz w:val="20"/>
                <w:szCs w:val="20"/>
                <w:lang w:eastAsia="en-US" w:bidi="ar-SA"/>
              </w:rPr>
              <w:t>Мероприятие исполнено.</w:t>
            </w:r>
          </w:p>
          <w:p>
            <w:pPr>
              <w:pStyle w:val="Normal"/>
              <w:widowControl w:val="false"/>
              <w:jc w:val="both"/>
              <w:rPr/>
            </w:pPr>
            <w:r>
              <w:rPr>
                <w:rFonts w:eastAsia="Calibri" w:cs="Times New Roman" w:ascii="Times New Roman" w:hAnsi="Times New Roman"/>
                <w:sz w:val="20"/>
                <w:szCs w:val="20"/>
                <w:lang w:eastAsia="en-US" w:bidi="ar-SA"/>
              </w:rPr>
              <w:t>На официальном сайте Управления образованием Администрации города Шарыпово (размещена информация о деятельности МБОУ ДО ДЮЦ г. Шарыпово  (</w:t>
            </w:r>
            <w:hyperlink r:id="rId4">
              <w:r>
                <w:rPr>
                  <w:rStyle w:val="ListLabel2"/>
                  <w:rFonts w:eastAsia="Calibri" w:cs="Times New Roman" w:ascii="Times New Roman" w:hAnsi="Times New Roman"/>
                  <w:sz w:val="20"/>
                  <w:szCs w:val="20"/>
                  <w:lang w:eastAsia="en-US" w:bidi="ar-SA"/>
                </w:rPr>
                <w:t>http://duc.sharobr.ru/</w:t>
              </w:r>
            </w:hyperlink>
            <w:r>
              <w:rPr>
                <w:rFonts w:eastAsia="Calibri" w:cs="Times New Roman" w:ascii="Times New Roman" w:hAnsi="Times New Roman"/>
                <w:sz w:val="20"/>
                <w:szCs w:val="20"/>
                <w:lang w:eastAsia="en-US" w:bidi="ar-SA"/>
              </w:rPr>
              <w:t>)</w:t>
            </w:r>
          </w:p>
          <w:p>
            <w:pPr>
              <w:pStyle w:val="NormalWeb"/>
              <w:spacing w:beforeAutospacing="0" w:before="0" w:afterAutospacing="0" w:after="0"/>
              <w:ind w:firstLine="709"/>
              <w:contextualSpacing/>
              <w:jc w:val="both"/>
              <w:rPr/>
            </w:pPr>
            <w:r>
              <w:rPr>
                <w:rFonts w:eastAsia="Calibri"/>
                <w:kern w:val="2"/>
                <w:sz w:val="20"/>
                <w:szCs w:val="20"/>
                <w:lang w:eastAsia="en-US"/>
              </w:rPr>
              <w:t>На официальном сайте Администрации города</w:t>
            </w:r>
            <w:r>
              <w:rPr>
                <w:sz w:val="20"/>
                <w:szCs w:val="20"/>
              </w:rPr>
              <w:t xml:space="preserve"> Шарыпово размещена информация о деятельности </w:t>
            </w:r>
            <w:r>
              <w:rPr>
                <w:rFonts w:eastAsia="Calibri" w:eastAsiaTheme="minorHAnsi"/>
                <w:sz w:val="20"/>
                <w:szCs w:val="20"/>
                <w:lang w:eastAsia="en-US"/>
              </w:rPr>
              <w:t>МБУ «Спортивная школа олимпийского резерва по единоборствам» г. Шарыпово и МБУ «Спортивная школа города Шарыпово» (</w:t>
            </w:r>
            <w:hyperlink r:id="rId5">
              <w:r>
                <w:rPr>
                  <w:rStyle w:val="Style12"/>
                  <w:color w:val="auto"/>
                  <w:sz w:val="20"/>
                  <w:szCs w:val="20"/>
                </w:rPr>
                <w:t>http://www.gorodsharypovo.ru/</w:t>
              </w:r>
            </w:hyperlink>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1.4.2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Поддержка      в рамках муниципальной программы    по развитию предпринимательства предпринимателей, организующих деятельность негосударственных организаций дополнительного образования, на  осуществление деятельности   по предоставлению услуг дополнительного образования детей</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cs="Times New Roman" w:ascii="Times New Roman" w:hAnsi="Times New Roman"/>
                <w:lang w:eastAsia="ru-RU"/>
              </w:rPr>
              <w:t>По факту поступления заявок</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ConsNormal"/>
              <w:widowControl w:val="false"/>
              <w:snapToGrid w:val="false"/>
              <w:ind w:hanging="0"/>
              <w:rPr>
                <w:rFonts w:ascii="Times New Roman" w:hAnsi="Times New Roman" w:eastAsia="Calibri" w:cs="Times New Roman"/>
                <w:lang w:eastAsia="en-US"/>
              </w:rPr>
            </w:pPr>
            <w:r>
              <w:rPr>
                <w:rFonts w:eastAsia="Calibri" w:cs="Times New Roman" w:ascii="Times New Roman" w:hAnsi="Times New Roman"/>
                <w:lang w:eastAsia="en-US"/>
              </w:rPr>
              <w:t>Заявки не поступали</w:t>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1.4.3</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Оказание информационно-методической и информационно-консультативной помощи негосударственным организациям, осуществляющим образовательную деятельность по дополнительным общеобразовательным программам </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 xml:space="preserve">Обеспечение возможности получения консультативной и методической поддержки индивидуальными предпринимателями, педагогическими работниками частных организаций, осуществляющих образовательную деятельность по дополнительным образовательным программам </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rFonts w:ascii="Times New Roman" w:hAnsi="Times New Roman" w:cs="Times New Roman"/>
                <w:sz w:val="20"/>
                <w:szCs w:val="20"/>
              </w:rPr>
            </w:pPr>
            <w:r>
              <w:rPr>
                <w:rFonts w:eastAsia="Calibri" w:cs="Times New Roman" w:ascii="Times New Roman" w:hAnsi="Times New Roman"/>
                <w:sz w:val="20"/>
                <w:szCs w:val="20"/>
                <w:lang w:eastAsia="en-US"/>
              </w:rPr>
              <w:t xml:space="preserve">Обращения не поступали </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1.5 Рынок : </w:t>
            </w:r>
            <w:r>
              <w:rPr>
                <w:rFonts w:eastAsia="Calibri" w:cs="Times New Roman" w:ascii="Times New Roman" w:hAnsi="Times New Roman"/>
                <w:b/>
                <w:color w:val="000000"/>
                <w:lang w:eastAsia="en-US"/>
              </w:rPr>
              <w:t>Выполнение работ по содержанию и текущему ремонту общего имущества собственников помещений в многоквартирном доме</w:t>
            </w:r>
            <w:r>
              <w:rPr>
                <w:rFonts w:eastAsia="Calibri" w:cs="Times New Roman" w:ascii="Times New Roman" w:hAnsi="Times New Roman"/>
                <w:b/>
                <w:lang w:eastAsia="en-US"/>
              </w:rPr>
              <w:t xml:space="preserve"> </w:t>
            </w:r>
          </w:p>
        </w:tc>
      </w:tr>
      <w:tr>
        <w:trPr>
          <w:trHeight w:val="70" w:hRule="atLeast"/>
        </w:trPr>
        <w:tc>
          <w:tcPr>
            <w:tcW w:w="14869"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firstLine="709"/>
              <w:jc w:val="both"/>
              <w:rPr>
                <w:rFonts w:ascii="Times New Roman" w:hAnsi="Times New Roman" w:cs="Times New Roman"/>
                <w:sz w:val="20"/>
              </w:rPr>
            </w:pPr>
            <w:r>
              <w:rPr>
                <w:rFonts w:cs="Times New Roman" w:ascii="Times New Roman" w:hAnsi="Times New Roman"/>
                <w:sz w:val="20"/>
              </w:rPr>
              <w:t>Так в минувшем 2020 году были введены в эксплуатацию 19 домов малоэтажной застройки (ИЖС) вновь построенных и 6 домов малоэтажной застройки после реконструкции.  За период с 2021 по 2024 годы планируется ввести в эксплуатацию еще 125 жилых дома малоэтажной застройки (ИЖС) общей площадью 12,5 тысяч квадратных метров и один МКД после реконструкции нежилого здания, переведенного в жилое на 55 квартир, общей площадью 3,1 тыс.кв.м.</w:t>
            </w:r>
          </w:p>
          <w:p>
            <w:pPr>
              <w:pStyle w:val="Normal"/>
              <w:widowControl w:val="false"/>
              <w:ind w:firstLine="709"/>
              <w:jc w:val="both"/>
              <w:rPr>
                <w:sz w:val="20"/>
              </w:rPr>
            </w:pPr>
            <w:r>
              <w:rPr>
                <w:sz w:val="20"/>
              </w:rPr>
              <w:t>На территории муниципального образования «город Шарыпово Красноярского края» по состоянию на 01.01.2021 года находится 24 аварийных дома площадью 4,3 тыс.кв.м, в том числе 2 многоквартирных дома в р.п.Горячегорске,16 домов блокированной застройки в р.п.Дубинино и 6 жилых домов в г.Шарыпово, г.п.Горячегорск и г.п.Дубинино, признанных в установленном порядке аварийными и подлежащими сносу. В течении 2020 года дома не признавались аварийными и подлежащими сносу.</w:t>
            </w:r>
          </w:p>
          <w:p>
            <w:pPr>
              <w:pStyle w:val="Normal"/>
              <w:widowControl w:val="false"/>
              <w:ind w:firstLine="709"/>
              <w:jc w:val="both"/>
              <w:rPr>
                <w:sz w:val="20"/>
              </w:rPr>
            </w:pPr>
            <w:r>
              <w:rPr>
                <w:rFonts w:eastAsia="Calibri" w:cs="Times New Roman"/>
                <w:sz w:val="20"/>
                <w:lang w:eastAsia="en-US"/>
              </w:rPr>
              <w:t>Ежегодно наблюдается снижение показателя жилых помещений, находящихся в собственности муниципального образования. Так по состоянию на 01.01.2021 года процент муниципального жилья от всего жилищного фонда на территории муниципального образования составил 3,1 %, по сравнению с периодами на 01.01.2019 года-3,3 % и на 01.01.2020 года-3,2 %.</w:t>
            </w:r>
          </w:p>
          <w:p>
            <w:pPr>
              <w:pStyle w:val="Normal"/>
              <w:widowControl w:val="false"/>
              <w:ind w:firstLine="709"/>
              <w:jc w:val="both"/>
              <w:rPr>
                <w:sz w:val="20"/>
              </w:rPr>
            </w:pPr>
            <w:r>
              <w:rPr>
                <w:rFonts w:eastAsia="Calibri" w:cs="Times New Roman"/>
                <w:sz w:val="20"/>
                <w:lang w:eastAsia="en-US"/>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по муниципальному образованию «город Шарыпово Красноярского края» на 01.01.2021 года составила 100 %.</w:t>
            </w:r>
          </w:p>
          <w:p>
            <w:pPr>
              <w:pStyle w:val="Normal"/>
              <w:widowControl w:val="false"/>
              <w:rPr>
                <w:rFonts w:ascii="Times New Roman" w:hAnsi="Times New Roman" w:cs="Times New Roman"/>
                <w:sz w:val="20"/>
                <w:szCs w:val="20"/>
              </w:rPr>
            </w:pPr>
            <w:r>
              <w:rPr>
                <w:rFonts w:eastAsia="Calibri" w:cs="Times New Roman"/>
                <w:sz w:val="20"/>
                <w:lang w:eastAsia="en-US"/>
              </w:rPr>
              <w:t xml:space="preserve">В настоящее время все собственники многоквартирных домов на территории муниципального образования выбрали тот или иной способ управления многоквартирными домами. На сегодняшний день на территории муниципального образования зарегистрировано одно Товарищество собственников жилья (ТСЖ «Горячегорск») в ведении которого находятся два 12 квартирных дома,признанных аварийными в 2018 году ,а также 11 управляющих организаций, таких как ШРМО ПАО «Красноярскэнергосбыт», ООО «ПЖКХ», ООО УК «Вера», ООО УК «Восточная», ООО УК «Западная», ООО УК «Инновация», ООО «Катэкжилсервис», ООО «Уютный дом», ООО «Диалог», ООО «ДРЭУ»,ООО «Меридиан» в управлении которых находятся 206 многоквартирных дома. Жителями 48 многоквартирных домов и 518 домов блокированной застройки частного сектора выбран непосредственный способ </w:t>
            </w:r>
            <w:r>
              <w:rPr>
                <w:rFonts w:eastAsia="Calibri" w:cs="Times New Roman" w:ascii="Times New Roman" w:hAnsi="Times New Roman"/>
                <w:sz w:val="20"/>
                <w:lang w:eastAsia="en-US"/>
              </w:rPr>
              <w:t>управления собственниками жилья.</w:t>
            </w:r>
            <w:r>
              <w:rPr>
                <w:rFonts w:eastAsia="Calibri" w:cs="Times New Roman" w:ascii="Times New Roman" w:hAnsi="Times New Roman"/>
                <w:sz w:val="20"/>
                <w:szCs w:val="20"/>
                <w:lang w:eastAsia="en-US"/>
              </w:rPr>
              <w:t xml:space="preserve"> </w:t>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1.5.1</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Содействие развитию сектора негосударственных (немуниципальных) организаций, осуществляющих оказание услуг по электро-, водоснабжению, водоотведению, очистке сточных вод и обращению с твердыми коммунальными отходами, которые используют объекты коммунальной инфраструктуры на праве частной собственности, по договору аренды </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Создание условий для развития конкуренции в сфере ЖКХ</w:t>
            </w:r>
          </w:p>
        </w:tc>
        <w:tc>
          <w:tcPr>
            <w:tcW w:w="1470" w:type="dxa"/>
            <w:tcBorders>
              <w:top w:val="single" w:sz="4" w:space="0" w:color="000000"/>
              <w:left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Liberation Serif" w:hAnsi="Liberation Serif"/>
                <w:lang w:eastAsia="en-US"/>
              </w:rPr>
              <w:t>80 %</w:t>
            </w:r>
          </w:p>
        </w:tc>
        <w:tc>
          <w:tcPr>
            <w:tcW w:w="1410" w:type="dxa"/>
            <w:tcBorders>
              <w:top w:val="single" w:sz="4" w:space="0" w:color="000000"/>
              <w:left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Liberation Serif" w:hAnsi="Liberation Serif"/>
                <w:lang w:eastAsia="en-US"/>
              </w:rPr>
              <w:t>80 %</w:t>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jc w:val="both"/>
              <w:rPr>
                <w:sz w:val="20"/>
                <w:szCs w:val="20"/>
              </w:rPr>
            </w:pPr>
            <w:r>
              <w:rPr>
                <w:sz w:val="20"/>
                <w:szCs w:val="20"/>
              </w:rPr>
              <w:t xml:space="preserve">На территории городского округа города Шарыпово отсутствуют организации и предприятия государственной и муниципальной формы собственности оказывающие жилищно-коммунальные услуги. </w:t>
            </w:r>
          </w:p>
          <w:p>
            <w:pPr>
              <w:pStyle w:val="Normal"/>
              <w:widowControl w:val="false"/>
              <w:rPr>
                <w:rFonts w:ascii="Times New Roman" w:hAnsi="Times New Roman" w:cs="Times New Roman"/>
                <w:sz w:val="20"/>
                <w:szCs w:val="20"/>
              </w:rPr>
            </w:pPr>
            <w:r>
              <w:rPr>
                <w:sz w:val="20"/>
                <w:szCs w:val="20"/>
              </w:rPr>
              <w:t>В целях содействия развитию негосударственных (немуниципальных) организаций, муниципальное имущество передано на основе договоров аренды муниципального имущества для оказания услуг по водоснабжению, водоотведению и очистке сточных вод.</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1.5.2</w:t>
            </w:r>
          </w:p>
        </w:tc>
        <w:tc>
          <w:tcPr>
            <w:tcW w:w="2773"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Осуществление муниципального жилищного контроля</w:t>
            </w:r>
          </w:p>
        </w:tc>
        <w:tc>
          <w:tcPr>
            <w:tcW w:w="1305"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Снижение количества нарушений прав потребителей в сфере ЖКХ</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top w:val="single" w:sz="4" w:space="0" w:color="000000"/>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sz w:val="20"/>
                <w:szCs w:val="20"/>
              </w:rPr>
            </w:pPr>
            <w:r>
              <w:rPr>
                <w:sz w:val="20"/>
                <w:szCs w:val="20"/>
              </w:rPr>
              <w:t>В 2021 году заявлений об инициировании внеплановых проверок в рамках муниципального жилищного контроля в МКУ «Служба городского хозяйства» не поступало. В 2020 году была проведена одна внеплановая проверка.</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1.5.3</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Организация «горячей телефонной линии», а  также электронной  формы  обратной  связи  с  возможностью прикрепления файлов (фото-и видеосъемки) в целях сбора информации о нарушениях в сфере ЖКХ</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 xml:space="preserve">Повышение эффективности контроля за соблюдением жилищного законодательства </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sz w:val="20"/>
                <w:szCs w:val="20"/>
              </w:rPr>
            </w:pPr>
            <w:r>
              <w:rPr>
                <w:sz w:val="20"/>
                <w:szCs w:val="20"/>
              </w:rPr>
              <w:t xml:space="preserve">В МКУ «Служба городского хозяйства» организована «горячая телефонная линия». По факту поступления обращений от граждан принимаются заявки для оперативного реагирования и устранения нарушений. </w:t>
            </w:r>
          </w:p>
          <w:p>
            <w:pPr>
              <w:pStyle w:val="Normal"/>
              <w:widowControl w:val="false"/>
              <w:rPr>
                <w:sz w:val="20"/>
                <w:szCs w:val="20"/>
              </w:rPr>
            </w:pPr>
            <w:r>
              <w:rPr>
                <w:sz w:val="20"/>
                <w:szCs w:val="20"/>
              </w:rPr>
              <w:t xml:space="preserve">В целях сбора информации о нарушениях в сфере ЖКХ граждане могут воспользоваться </w:t>
            </w:r>
            <w:r>
              <w:rPr>
                <w:rFonts w:ascii="Calibri" w:hAnsi="Calibri" w:asciiTheme="minorHAnsi" w:hAnsiTheme="minorHAnsi"/>
                <w:sz w:val="20"/>
                <w:szCs w:val="20"/>
              </w:rPr>
              <w:t>«</w:t>
            </w:r>
            <w:r>
              <w:rPr>
                <w:sz w:val="20"/>
                <w:szCs w:val="20"/>
              </w:rPr>
              <w:t>электронной приемной» на сайте Администрации города, Платформой обратной связи (ПОС), а также официальными группами в социальных сетях:</w:t>
            </w:r>
          </w:p>
          <w:p>
            <w:pPr>
              <w:pStyle w:val="Normal"/>
              <w:widowControl w:val="false"/>
              <w:rPr>
                <w:sz w:val="20"/>
                <w:szCs w:val="20"/>
              </w:rPr>
            </w:pPr>
            <w:r>
              <w:rPr>
                <w:sz w:val="20"/>
                <w:szCs w:val="20"/>
              </w:rPr>
              <w:t>- Вконтакте (Типичное Шарыпово, Я живу в Шарыпово, Подслушано в Шарыпово);</w:t>
            </w:r>
          </w:p>
          <w:p>
            <w:pPr>
              <w:pStyle w:val="Normal"/>
              <w:widowControl w:val="false"/>
              <w:rPr>
                <w:rFonts w:ascii="Calibri" w:hAnsi="Calibri" w:asciiTheme="minorHAnsi" w:hAnsiTheme="minorHAnsi"/>
                <w:sz w:val="20"/>
                <w:szCs w:val="20"/>
              </w:rPr>
            </w:pPr>
            <w:r>
              <w:rPr>
                <w:sz w:val="20"/>
                <w:szCs w:val="20"/>
              </w:rPr>
              <w:t>- Одноклассники (Мы-Шарыповцы, Шарыпово)</w:t>
            </w:r>
            <w:r>
              <w:rPr>
                <w:rFonts w:ascii="Calibri" w:hAnsi="Calibri" w:asciiTheme="minorHAnsi" w:hAnsiTheme="minorHAnsi"/>
                <w:sz w:val="20"/>
                <w:szCs w:val="20"/>
              </w:rPr>
              <w:t>.</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1.5.4</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Информирование  собственников помещений в многоквартирных  домах  через средства  массовой  информации  об  обязанностях  управляющих организаций, правах и обязанностях собственников помещений  многоквартирных домов</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Повышение правой грамотности населения в сфере ЖКХ</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rFonts w:ascii="Times New Roman" w:hAnsi="Times New Roman" w:cs="Times New Roman"/>
                <w:sz w:val="20"/>
                <w:szCs w:val="20"/>
              </w:rPr>
            </w:pPr>
            <w:r>
              <w:rPr>
                <w:sz w:val="20"/>
                <w:szCs w:val="20"/>
              </w:rPr>
              <w:t>В 2021 году в СМИ размещено более 90 информационных материалов, направленных на повышение правовой грамотности потребителей жилищно-коммунальных услуг.</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1.5.5</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Формирование перечня  объектов муниципального имущества  в  сфере ЖКХ, предлагаемых к   передаче   в концессию</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Normal"/>
              <w:widowControl w:val="false"/>
              <w:snapToGrid w:val="false"/>
              <w:jc w:val="center"/>
              <w:rPr>
                <w:rFonts w:ascii="Times New Roman" w:hAnsi="Times New Roman" w:cs="Times New Roman"/>
                <w:sz w:val="20"/>
                <w:szCs w:val="20"/>
              </w:rPr>
            </w:pPr>
            <w:r>
              <w:rPr>
                <w:rFonts w:eastAsia="Calibri" w:cs="Times New Roman" w:ascii="Times New Roman" w:hAnsi="Times New Roman"/>
                <w:sz w:val="20"/>
                <w:szCs w:val="20"/>
                <w:lang w:eastAsia="en-US"/>
              </w:rPr>
              <w:t>Перечень  объектов муниципального имущества  в  сфере ЖКХ, предлагаемых к   передаче   в концессию.</w:t>
            </w:r>
          </w:p>
          <w:p>
            <w:pPr>
              <w:pStyle w:val="Normal"/>
              <w:widowControl w:val="false"/>
              <w:snapToGrid w:val="false"/>
              <w:jc w:val="center"/>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r>
          </w:p>
          <w:p>
            <w:pPr>
              <w:pStyle w:val="Normal"/>
              <w:widowControl w:val="false"/>
              <w:snapToGrid w:val="false"/>
              <w:jc w:val="center"/>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В соответствии с частью 3 статьи 4 и частью 20 статьи 39 Федерального закона от 21 июля 2005 года «115-ФЗ «О концессионных соглашениях» подписано постановление от 28.01.2020 №6 «О внесении изменений и дополнений в постановление Администрации города Шарыпово от 26.01.2017 №17 «Об утверждении перечня объектов, в отношении которых планируется заключении концессионных соглашений» (в ред. от 26.10.2018 №273, от 25.01.2019 №07), которое утверждает перечень объектов, в отношении которых планируется заключение концессионных соглашений. Данное постановление размещено на официальном сайте муниципального образования города Шарыпово Красноярского края (www.gorodsharypovo.ru) и в сети «Интернет» на официальном сайте Российской Федерации www.torgi.gov.ru. Так по состоянию на 01.01.2020 год было внесено в данное постановление 188 объектов ЖКХ, а на 01.01.2021 год уже 189 объектов ЖКХ, что составляет 100% из всех числящихся в реестре имущества казны МО города Шарыпово Красноярского края объектов ЖКХ</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1.5.6</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Передача объектов жилищно-коммунального комплекса на основе концессионных соглашений</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Заключение концессионных соглашений и (или) договоров долгосрочной аренды.</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Ежегодно</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Концессионные соглашения на территории муниципального образования город Шарыпово Красноярского края в 2021 году не заключались.</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1.6 Рынок: </w:t>
            </w:r>
            <w:r>
              <w:rPr>
                <w:rFonts w:eastAsia="Calibri" w:cs="Times New Roman" w:ascii="Times New Roman" w:hAnsi="Times New Roman"/>
                <w:b/>
                <w:color w:val="000000"/>
                <w:lang w:eastAsia="en-US"/>
              </w:rPr>
              <w:t xml:space="preserve"> Перевозка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 </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На территории муниципального образования осуществляют перевозку пассажиров по  городским  и пригородным маршрутам три предприятия и два индивидуальных предпринимателя: АО «Краевое АТП», ООО «НТВ», ООО «Сибирь плюс», ИП Жилейкин А.С., ИП Керимов З.Н. Автопарк составляет 41 автобус.</w:t>
            </w:r>
          </w:p>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Количество автобусных маршрутов - восемь. Протяженность маршрутов  составляет 137,1 км. Все жители города Шарыпово, в том числе  и входящих в состав города Шарыпово жители населенных пунктов поселка Горячегорск (расстояние от города 32 км) и поселка Дубинино (расстояние 22 км) пользуются услугами регулярного автобусного сообщения с административным центром городского округа. Средняя численность пассажиров, перевезенных всеми видами транспорта,  составила 966,8 тыс. чел. </w:t>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1.6.1</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Совершенствование процессов организации и проведения торгов на право осуществления перевозок пассажиров общественным транспортом </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Организация и проведение конкурсных процедур по определению перевозчиков на муниципальных маршрутах регулярных перевозок пассажиров общественным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80 %</w:t>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80 %</w:t>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eastAsia="Calibri" w:cs="Times New Roman"/>
                <w:b/>
                <w:b/>
                <w:sz w:val="20"/>
                <w:szCs w:val="20"/>
                <w:lang w:eastAsia="en-US"/>
              </w:rPr>
            </w:pPr>
            <w:r>
              <w:rPr>
                <w:rFonts w:eastAsia="Calibri" w:cs="Times New Roman" w:ascii="Times New Roman" w:hAnsi="Times New Roman"/>
                <w:b/>
                <w:sz w:val="20"/>
                <w:szCs w:val="20"/>
                <w:lang w:eastAsia="en-US"/>
              </w:rPr>
              <w:t>Мероприятие исполнено.</w:t>
            </w:r>
          </w:p>
          <w:p>
            <w:pPr>
              <w:pStyle w:val="Normal"/>
              <w:widowControl w:val="false"/>
              <w:rPr>
                <w:rFonts w:ascii="Times New Roman" w:hAnsi="Times New Roman" w:cs="Times New Roman"/>
                <w:sz w:val="20"/>
                <w:szCs w:val="20"/>
              </w:rPr>
            </w:pPr>
            <w:r>
              <w:rPr>
                <w:rFonts w:eastAsia="Calibri"/>
                <w:sz w:val="20"/>
                <w:szCs w:val="20"/>
                <w:lang w:eastAsia="en-US"/>
              </w:rPr>
              <w:t>В 2021 году был проведен открытый конкурс в электронной форме по определению перевозчиков на муниципальных маршрутах, по результатам которого были заключены муниципальные контракты на маршрут №4 «Автостанция – п. Дубинино», маршрут 4П «мкр. Пионерный – п. Дубинино»</w:t>
            </w:r>
            <w:r>
              <w:rPr>
                <w:rFonts w:cs="Times New Roman" w:ascii="Times New Roman" w:hAnsi="Times New Roman"/>
                <w:sz w:val="20"/>
                <w:szCs w:val="20"/>
              </w:rPr>
              <w:t>, маршрут №102 «Автостанция – п. Горячегорск».</w:t>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1.6.2</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30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2019-2022 годы</w:t>
            </w:r>
          </w:p>
        </w:tc>
        <w:tc>
          <w:tcPr>
            <w:tcW w:w="3571"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lang w:eastAsia="en-US"/>
              </w:rPr>
              <w:t>Обеспечение возможности получения консультативной помощи по  вопросам  организации  регулярных  перевозок пассажиров автомобильным транспортом  по  муниципальным маршрутам</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p>
            <w:pPr>
              <w:pStyle w:val="ConsNormal"/>
              <w:widowControl w:val="false"/>
              <w:snapToGrid w:val="false"/>
              <w:ind w:hanging="0"/>
              <w:jc w:val="center"/>
              <w:rPr>
                <w:rFonts w:ascii="Times New Roman" w:hAnsi="Times New Roman" w:cs="Times New Roman"/>
              </w:rPr>
            </w:pPr>
            <w:r>
              <w:rPr>
                <w:rFonts w:eastAsia="Calibri" w:cs="Times New Roman" w:ascii="Times New Roman" w:hAnsi="Times New Roman"/>
                <w:lang w:eastAsia="en-US"/>
              </w:rPr>
              <w:t>По факту поступления обращений</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cs="Times New Roman"/>
                <w:sz w:val="20"/>
                <w:szCs w:val="20"/>
              </w:rPr>
            </w:pPr>
            <w:r>
              <w:rPr>
                <w:rFonts w:eastAsia="Calibri" w:cs="Times New Roman" w:ascii="Times New Roman" w:hAnsi="Times New Roman"/>
                <w:sz w:val="20"/>
                <w:szCs w:val="20"/>
                <w:lang w:eastAsia="en-US"/>
              </w:rPr>
              <w:t>Консультации оказывались только в телефонном режиме (12 обращений)</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jc w:val="center"/>
              <w:rPr>
                <w:rFonts w:ascii="Times New Roman" w:hAnsi="Times New Roman" w:cs="Times New Roman"/>
              </w:rPr>
            </w:pPr>
            <w:r>
              <w:rPr>
                <w:rFonts w:eastAsia="Calibri" w:cs="Times New Roman" w:ascii="Times New Roman" w:hAnsi="Times New Roman"/>
                <w:b/>
                <w:lang w:eastAsia="en-US"/>
              </w:rPr>
              <w:t xml:space="preserve">1.7 Рынок: </w:t>
            </w:r>
            <w:r>
              <w:rPr>
                <w:rFonts w:eastAsia="Calibri" w:cs="Times New Roman" w:ascii="Times New Roman" w:hAnsi="Times New Roman"/>
                <w:b/>
                <w:color w:val="000000"/>
                <w:lang w:eastAsia="en-US"/>
              </w:rPr>
              <w:t xml:space="preserve">  Культура</w:t>
            </w:r>
          </w:p>
        </w:tc>
      </w:tr>
      <w:tr>
        <w:trPr>
          <w:trHeight w:val="70" w:hRule="atLeast"/>
        </w:trPr>
        <w:tc>
          <w:tcPr>
            <w:tcW w:w="14869" w:type="dxa"/>
            <w:gridSpan w:val="8"/>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Normal"/>
              <w:widowControl w:val="false"/>
              <w:ind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Отрасль культура включает 8 библиотек, 1 учреждение культурно-досугового типа (МАУ «Центр культурного развития г. Шарыпово») и два обособленных подразделения культурно-досугового типа (филиалы в поселках Горячегорск и Дубинино),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п. Дубинино и п. Горячегорск. Общая численность работающих в отрасли на начало 2020 года 175 человек. В прогнозируемом периоде в сфере «культура» приоритетным направлением развития останутся увеличение объема и качества оказываемых услуг на основе модернизации оборудования, использования современных телекоммуникационных систем.</w:t>
            </w:r>
          </w:p>
        </w:tc>
      </w:tr>
      <w:tr>
        <w:trPr>
          <w:trHeight w:val="70" w:hRule="atLeast"/>
        </w:trPr>
        <w:tc>
          <w:tcPr>
            <w:tcW w:w="675"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cs="Times New Roman"/>
              </w:rPr>
            </w:pPr>
            <w:r>
              <w:rPr>
                <w:rFonts w:cs="Times New Roman" w:ascii="Times New Roman" w:hAnsi="Times New Roman"/>
              </w:rPr>
              <w:t>1.7.1</w:t>
            </w:r>
          </w:p>
        </w:tc>
        <w:tc>
          <w:tcPr>
            <w:tcW w:w="2773" w:type="dxa"/>
            <w:tcBorders>
              <w:left w:val="single" w:sz="4" w:space="0" w:color="000000"/>
              <w:bottom w:val="single" w:sz="4" w:space="0" w:color="000000"/>
              <w:insideH w:val="single" w:sz="4" w:space="0" w:color="000000"/>
            </w:tcBorders>
            <w:shd w:fill="auto"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Организация предоставления населению муниципального округа «город Шарыпово Красноярского края» услуг театрально-зрелищных учреждений, культурно-досуговых услуг с привлечением организаций культуры всех форм собственности </w:t>
            </w:r>
          </w:p>
        </w:tc>
        <w:tc>
          <w:tcPr>
            <w:tcW w:w="1305" w:type="dxa"/>
            <w:tcBorders>
              <w:left w:val="single" w:sz="4" w:space="0" w:color="000000"/>
              <w:bottom w:val="single" w:sz="4" w:space="0" w:color="000000"/>
              <w:insideH w:val="single" w:sz="4" w:space="0" w:color="000000"/>
            </w:tcBorders>
            <w:shd w:fill="auto"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2019-2022 годы</w:t>
            </w:r>
          </w:p>
        </w:tc>
        <w:tc>
          <w:tcPr>
            <w:tcW w:w="3571" w:type="dxa"/>
            <w:tcBorders>
              <w:left w:val="single" w:sz="4" w:space="0" w:color="000000"/>
              <w:bottom w:val="single" w:sz="4" w:space="0" w:color="000000"/>
              <w:insideH w:val="single" w:sz="4" w:space="0" w:color="000000"/>
            </w:tcBorders>
            <w:shd w:fill="auto"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Привлекаются коллективы оказывающие театрально-зрелищные и  культурно - досуговые услуги  с других территорий на праздничные общегородские мероприятия</w:t>
            </w:r>
          </w:p>
        </w:tc>
        <w:tc>
          <w:tcPr>
            <w:tcW w:w="147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0</w:t>
            </w:r>
            <w:r>
              <w:rPr>
                <w:rFonts w:eastAsia="Calibri" w:cs="Times New Roman" w:ascii="Times New Roman" w:hAnsi="Times New Roman"/>
                <w:b/>
                <w:bCs/>
                <w:lang w:eastAsia="en-US"/>
              </w:rPr>
              <w:t>*</w:t>
            </w:r>
          </w:p>
        </w:tc>
        <w:tc>
          <w:tcPr>
            <w:tcW w:w="1410" w:type="dxa"/>
            <w:tcBorders>
              <w:left w:val="single" w:sz="4" w:space="0" w:color="000000"/>
              <w:bottom w:val="single" w:sz="4" w:space="0" w:color="000000"/>
              <w:insideH w:val="single" w:sz="4" w:space="0" w:color="000000"/>
            </w:tcBorders>
            <w:shd w:fill="auto" w:val="clear"/>
          </w:tcPr>
          <w:p>
            <w:pPr>
              <w:pStyle w:val="ConsNormal"/>
              <w:widowControl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t>0</w:t>
            </w:r>
            <w:r>
              <w:rPr>
                <w:rFonts w:eastAsia="Calibri" w:cs="Times New Roman" w:ascii="Times New Roman" w:hAnsi="Times New Roman"/>
                <w:b/>
                <w:bCs/>
                <w:lang w:eastAsia="en-US"/>
              </w:rPr>
              <w:t>*</w:t>
            </w:r>
          </w:p>
        </w:tc>
        <w:tc>
          <w:tcPr>
            <w:tcW w:w="3665"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 xml:space="preserve">Отдел культуры администрации города Шарыпово </w:t>
            </w:r>
          </w:p>
          <w:p>
            <w:pPr>
              <w:pStyle w:val="Normal"/>
              <w:widowControl w:val="false"/>
              <w:snapToGrid w:val="false"/>
              <w:rPr>
                <w:rFonts w:ascii="Times New Roman" w:hAnsi="Times New Roman" w:eastAsia="Calibri" w:cs="Times New Roman"/>
                <w:sz w:val="20"/>
                <w:szCs w:val="20"/>
                <w:lang w:eastAsia="en-US"/>
              </w:rPr>
            </w:pPr>
            <w:r>
              <w:rPr>
                <w:rFonts w:eastAsia="Calibri" w:cs="Times New Roman" w:ascii="Times New Roman" w:hAnsi="Times New Roman"/>
                <w:sz w:val="20"/>
                <w:szCs w:val="20"/>
                <w:lang w:eastAsia="en-US"/>
              </w:rPr>
              <w:t>Отдел спорта и молодежной политики Администрации города Шарыпово:</w:t>
            </w:r>
          </w:p>
          <w:p>
            <w:pPr>
              <w:pStyle w:val="Normal"/>
              <w:widowControl w:val="false"/>
              <w:snapToGrid w:val="false"/>
              <w:rPr>
                <w:rFonts w:ascii="Times New Roman" w:hAnsi="Times New Roman" w:cs="Times New Roman"/>
                <w:sz w:val="20"/>
                <w:szCs w:val="20"/>
                <w:highlight w:val="white"/>
              </w:rPr>
            </w:pPr>
            <w:r>
              <w:rPr>
                <w:rFonts w:eastAsia="Calibri" w:cs="Times New Roman" w:ascii="Times New Roman" w:hAnsi="Times New Roman"/>
                <w:sz w:val="20"/>
                <w:szCs w:val="20"/>
                <w:lang w:eastAsia="en-US"/>
              </w:rPr>
              <w:t xml:space="preserve">в 2021 году проведены мероприятия с участием коллективов </w:t>
            </w:r>
            <w:r>
              <w:rPr>
                <w:rFonts w:cs="Times New Roman" w:ascii="Times New Roman" w:hAnsi="Times New Roman"/>
                <w:sz w:val="20"/>
                <w:szCs w:val="20"/>
              </w:rPr>
              <w:t xml:space="preserve">Отдела культуры Администрации города Шарыпово - открытие двух плоскостных спортивных сооружений в г.Шарыпово и п.Дубинино; открытие </w:t>
            </w:r>
            <w:r>
              <w:rPr>
                <w:rFonts w:cs="Times New Roman" w:ascii="Times New Roman" w:hAnsi="Times New Roman"/>
                <w:sz w:val="20"/>
                <w:szCs w:val="20"/>
                <w:shd w:fill="FFFFFF" w:val="clear"/>
              </w:rPr>
              <w:t>«Краевого фестиваля адаптивного спорта» для Западной группы районов Красноярского края.</w:t>
            </w:r>
          </w:p>
          <w:p>
            <w:pPr>
              <w:pStyle w:val="Normal"/>
              <w:widowControl w:val="false"/>
              <w:snapToGrid w:val="false"/>
              <w:jc w:val="center"/>
              <w:rPr>
                <w:rFonts w:ascii="Times New Roman" w:hAnsi="Times New Roman" w:cs="Times New Roman"/>
                <w:sz w:val="20"/>
                <w:szCs w:val="20"/>
              </w:rPr>
            </w:pPr>
            <w:r>
              <w:rPr>
                <w:rFonts w:cs="Times New Roman" w:ascii="Times New Roman" w:hAnsi="Times New Roman"/>
                <w:sz w:val="20"/>
                <w:szCs w:val="20"/>
                <w:shd w:fill="FFFFFF" w:val="clear"/>
              </w:rPr>
              <w:t>Мероприятия исполнены.</w:t>
            </w:r>
            <w:r>
              <w:rPr>
                <w:rFonts w:cs="Times New Roman" w:ascii="Times New Roman" w:hAnsi="Times New Roman"/>
                <w:sz w:val="20"/>
                <w:szCs w:val="20"/>
              </w:rPr>
              <w:t xml:space="preserve">  </w:t>
            </w:r>
          </w:p>
        </w:tc>
      </w:tr>
    </w:tbl>
    <w:p>
      <w:pPr>
        <w:pStyle w:val="1"/>
        <w:spacing w:before="0" w:after="0"/>
        <w:ind w:firstLine="567"/>
        <w:contextualSpacing/>
        <w:jc w:val="both"/>
        <w:rPr>
          <w:rFonts w:ascii="Times New Roman" w:hAnsi="Times New Roman" w:cs="Times New Roman"/>
          <w:color w:val="auto"/>
          <w:kern w:val="0"/>
          <w:sz w:val="20"/>
          <w:szCs w:val="20"/>
          <w:lang w:eastAsia="en-US" w:bidi="ar-SA"/>
        </w:rPr>
      </w:pPr>
      <w:r>
        <w:rPr>
          <w:rFonts w:cs="Times New Roman" w:ascii="Times New Roman" w:hAnsi="Times New Roman"/>
          <w:color w:val="000000"/>
          <w:sz w:val="20"/>
          <w:szCs w:val="20"/>
        </w:rPr>
        <w:t xml:space="preserve">     </w:t>
      </w:r>
      <w:r>
        <w:rPr>
          <w:rFonts w:cs="Times New Roman" w:ascii="Times New Roman" w:hAnsi="Times New Roman"/>
          <w:color w:val="000000"/>
          <w:kern w:val="0"/>
          <w:sz w:val="20"/>
          <w:szCs w:val="20"/>
          <w:lang w:eastAsia="en-US" w:bidi="ar-SA"/>
        </w:rPr>
        <w:t xml:space="preserve">   </w:t>
      </w:r>
      <w:r>
        <w:rPr>
          <w:rFonts w:cs="Times New Roman" w:ascii="Times New Roman" w:hAnsi="Times New Roman"/>
          <w:b/>
          <w:bCs/>
          <w:color w:val="000000"/>
          <w:kern w:val="0"/>
          <w:sz w:val="36"/>
          <w:szCs w:val="36"/>
          <w:lang w:eastAsia="en-US" w:bidi="ar-SA"/>
        </w:rPr>
        <w:t xml:space="preserve"> </w:t>
      </w:r>
      <w:r>
        <w:rPr>
          <w:rFonts w:cs="Times New Roman" w:ascii="Times New Roman" w:hAnsi="Times New Roman"/>
          <w:b/>
          <w:bCs/>
          <w:color w:val="000000"/>
          <w:kern w:val="0"/>
          <w:sz w:val="36"/>
          <w:szCs w:val="36"/>
          <w:lang w:eastAsia="en-US" w:bidi="ar-SA"/>
        </w:rPr>
        <w:t>*</w:t>
      </w:r>
      <w:r>
        <w:rPr>
          <w:rFonts w:cs="Times New Roman" w:ascii="Times New Roman" w:hAnsi="Times New Roman"/>
          <w:color w:val="000000"/>
          <w:kern w:val="0"/>
          <w:sz w:val="20"/>
          <w:szCs w:val="20"/>
          <w:lang w:eastAsia="en-US" w:bidi="ar-SA"/>
        </w:rPr>
        <w:t xml:space="preserve"> -  в 2020 и в 2021 годах праздничных общегородских мероприятий не было проведено в связи с </w:t>
      </w:r>
      <w:r>
        <w:rPr>
          <w:rFonts w:eastAsia="Times New Roman" w:cs="Times New Roman" w:ascii="Times New Roman" w:hAnsi="Times New Roman"/>
          <w:color w:val="auto"/>
          <w:spacing w:val="3"/>
          <w:kern w:val="2"/>
          <w:sz w:val="20"/>
          <w:szCs w:val="20"/>
          <w:lang w:eastAsia="ru-RU" w:bidi="ar-SA"/>
        </w:rPr>
        <w:t>указом Губернатора Красноярского края от 27.03.2020 № 71-уг «О дополнительных мерах, направленных на предупреждение распространения коронавирусной инфекции, вызванной 2019-nCoV, на территории Красноярского края» (с изменениями и дополнениями), которым было поручено п</w:t>
      </w:r>
      <w:r>
        <w:rPr>
          <w:rFonts w:cs="Times New Roman" w:ascii="Times New Roman" w:hAnsi="Times New Roman"/>
          <w:color w:val="auto"/>
          <w:kern w:val="0"/>
          <w:sz w:val="20"/>
          <w:szCs w:val="20"/>
          <w:lang w:eastAsia="en-US" w:bidi="ar-SA"/>
        </w:rPr>
        <w:t>риостановить (ограничить) до улучшения санитарно-эпидемиологической обстановки проведение на территории Красноярского края публичных мероприятий, досуговых, развлекательных, зрелищных, культурных, просветительских, рекламных и иных подобных мероприятий с очным присутствием граждан. До настоящего времени данное ограничение не отменено.</w:t>
      </w:r>
    </w:p>
    <w:p>
      <w:pPr>
        <w:pStyle w:val="1"/>
        <w:spacing w:before="0" w:after="0"/>
        <w:ind w:firstLine="567"/>
        <w:contextualSpacing/>
        <w:jc w:val="both"/>
        <w:rPr>
          <w:rFonts w:ascii="Times New Roman" w:hAnsi="Times New Roman" w:cs="Times New Roman"/>
          <w:color w:val="22272F"/>
          <w:kern w:val="0"/>
          <w:sz w:val="20"/>
          <w:szCs w:val="20"/>
          <w:lang w:eastAsia="en-US" w:bidi="ar-SA"/>
        </w:rPr>
      </w:pPr>
      <w:r>
        <w:rPr>
          <w:rFonts w:cs="Times New Roman" w:ascii="Times New Roman" w:hAnsi="Times New Roman"/>
          <w:color w:val="auto"/>
          <w:kern w:val="0"/>
          <w:sz w:val="20"/>
          <w:szCs w:val="20"/>
          <w:lang w:eastAsia="en-US" w:bidi="ar-SA"/>
        </w:rPr>
        <w:t xml:space="preserve">Поручение о приостановлении культурно-досуговых мероприятий было введено данным Указом от 27.03.2020 № 71-уг и до настоящего времени не отменено.  </w:t>
      </w:r>
    </w:p>
    <w:p>
      <w:pPr>
        <w:pStyle w:val="ListParagraph"/>
        <w:shd w:val="clear" w:color="auto" w:fill="FFFFFF"/>
        <w:ind w:left="360" w:hanging="0"/>
        <w:rPr>
          <w:rFonts w:ascii="Times New Roman" w:hAnsi="Times New Roman" w:cs="Times New Roman"/>
          <w:sz w:val="20"/>
          <w:szCs w:val="20"/>
        </w:rPr>
      </w:pPr>
      <w:r>
        <w:rPr>
          <w:rFonts w:cs="Times New Roman" w:ascii="Times New Roman" w:hAnsi="Times New Roman"/>
          <w:sz w:val="20"/>
          <w:szCs w:val="20"/>
        </w:rPr>
      </w:r>
    </w:p>
    <w:p>
      <w:pPr>
        <w:pStyle w:val="ListParagraph"/>
        <w:shd w:val="clear" w:color="auto" w:fill="FFFFFF"/>
        <w:ind w:left="360" w:hanging="0"/>
        <w:jc w:val="center"/>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2. Системные мероприятия по содействию развития конкуренции в </w:t>
      </w:r>
      <w:r>
        <w:rPr>
          <w:rFonts w:eastAsia="Calibri" w:cs="Times New Roman" w:ascii="Times New Roman" w:hAnsi="Times New Roman"/>
          <w:color w:val="000000"/>
          <w:sz w:val="20"/>
          <w:szCs w:val="20"/>
          <w:lang w:eastAsia="en-US"/>
        </w:rPr>
        <w:t>муниципальном образовании города Шарыпово  Красноярского края</w:t>
      </w:r>
    </w:p>
    <w:p>
      <w:pPr>
        <w:pStyle w:val="Normal"/>
        <w:shd w:val="clear" w:color="auto" w:fill="FFFFFF"/>
        <w:ind w:firstLine="720"/>
        <w:jc w:val="center"/>
        <w:rPr>
          <w:rFonts w:ascii="Times New Roman" w:hAnsi="Times New Roman" w:cs="Times New Roman"/>
          <w:color w:val="000000"/>
          <w:sz w:val="20"/>
          <w:szCs w:val="20"/>
        </w:rPr>
      </w:pPr>
      <w:r>
        <w:rPr>
          <w:rFonts w:cs="Times New Roman" w:ascii="Times New Roman" w:hAnsi="Times New Roman"/>
          <w:color w:val="000000"/>
          <w:sz w:val="20"/>
          <w:szCs w:val="20"/>
        </w:rPr>
      </w:r>
    </w:p>
    <w:tbl>
      <w:tblPr>
        <w:tblW w:w="14875" w:type="dxa"/>
        <w:jc w:val="left"/>
        <w:tblInd w:w="-128" w:type="dxa"/>
        <w:tblBorders>
          <w:top w:val="single" w:sz="8" w:space="0" w:color="000000"/>
          <w:left w:val="single" w:sz="8" w:space="0" w:color="000000"/>
          <w:bottom w:val="single" w:sz="8" w:space="0" w:color="000000"/>
          <w:insideH w:val="single" w:sz="8" w:space="0" w:color="000000"/>
        </w:tblBorders>
        <w:tblCellMar>
          <w:top w:w="0" w:type="dxa"/>
          <w:left w:w="0" w:type="dxa"/>
          <w:bottom w:w="0" w:type="dxa"/>
          <w:right w:w="0" w:type="dxa"/>
        </w:tblCellMar>
        <w:tblLook w:noVBand="1" w:val="04a0" w:noHBand="0" w:lastColumn="0" w:firstColumn="1" w:lastRow="0" w:firstRow="1"/>
      </w:tblPr>
      <w:tblGrid>
        <w:gridCol w:w="641"/>
        <w:gridCol w:w="2957"/>
        <w:gridCol w:w="3286"/>
        <w:gridCol w:w="3406"/>
        <w:gridCol w:w="1636"/>
        <w:gridCol w:w="2948"/>
      </w:tblGrid>
      <w:tr>
        <w:trPr>
          <w:trHeight w:val="540" w:hRule="atLeast"/>
        </w:trPr>
        <w:tc>
          <w:tcPr>
            <w:tcW w:w="641"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п/п</w:t>
            </w:r>
          </w:p>
        </w:tc>
        <w:tc>
          <w:tcPr>
            <w:tcW w:w="2957"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Наименование</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мероприятия</w:t>
            </w:r>
          </w:p>
        </w:tc>
        <w:tc>
          <w:tcPr>
            <w:tcW w:w="328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Описание проблемы, на решение которой направлено мероприятие</w:t>
            </w:r>
          </w:p>
        </w:tc>
        <w:tc>
          <w:tcPr>
            <w:tcW w:w="340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Результат выполнения мероприятий</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636" w:type="dxa"/>
            <w:tcBorders>
              <w:top w:val="single" w:sz="8" w:space="0" w:color="000000"/>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Срок</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исполнения</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мероприятия</w:t>
            </w:r>
          </w:p>
        </w:tc>
        <w:tc>
          <w:tcPr>
            <w:tcW w:w="2948"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Ответственные</w:t>
            </w:r>
          </w:p>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исполнители</w:t>
            </w:r>
          </w:p>
        </w:tc>
      </w:tr>
      <w:tr>
        <w:trPr>
          <w:trHeight w:val="170" w:hRule="atLeast"/>
        </w:trPr>
        <w:tc>
          <w:tcPr>
            <w:tcW w:w="641" w:type="dxa"/>
            <w:tcBorders>
              <w:left w:val="single" w:sz="8" w:space="0" w:color="000000"/>
              <w:bottom w:val="single" w:sz="8" w:space="0" w:color="000000"/>
              <w:insideH w:val="single" w:sz="8" w:space="0" w:color="000000"/>
            </w:tcBorders>
            <w:shd w:color="auto" w:fill="FFFFFF" w:val="clear"/>
          </w:tcPr>
          <w:p>
            <w:pPr>
              <w:pStyle w:val="Normal"/>
              <w:widowControl w:val="false"/>
              <w:spacing w:lineRule="atLeast" w:line="170"/>
              <w:jc w:val="center"/>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2957" w:type="dxa"/>
            <w:tcBorders>
              <w:left w:val="single" w:sz="8" w:space="0" w:color="000000"/>
              <w:bottom w:val="single" w:sz="8" w:space="0" w:color="000000"/>
              <w:insideH w:val="single" w:sz="8" w:space="0" w:color="000000"/>
            </w:tcBorders>
            <w:shd w:color="auto" w:fill="FFFFFF"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Проведение оценки регулирующего воздействия проектов нормативных правовых актов по воздействию на состояние конкуренции</w:t>
            </w:r>
          </w:p>
        </w:tc>
        <w:tc>
          <w:tcPr>
            <w:tcW w:w="3286" w:type="dxa"/>
            <w:tcBorders>
              <w:left w:val="single" w:sz="8" w:space="0" w:color="000000"/>
              <w:bottom w:val="single" w:sz="8" w:space="0" w:color="000000"/>
              <w:insideH w:val="single" w:sz="8" w:space="0" w:color="000000"/>
            </w:tcBorders>
            <w:shd w:color="auto" w:fill="FFFFFF" w:val="clear"/>
          </w:tcPr>
          <w:p>
            <w:pPr>
              <w:pStyle w:val="ConsPlusNonformat"/>
              <w:spacing w:lineRule="atLeast" w:line="170"/>
              <w:jc w:val="center"/>
              <w:rPr>
                <w:rFonts w:ascii="Times New Roman" w:hAnsi="Times New Roman" w:cs="Times New Roman"/>
                <w:sz w:val="20"/>
                <w:szCs w:val="20"/>
              </w:rPr>
            </w:pPr>
            <w:r>
              <w:rPr>
                <w:rFonts w:cs="Times New Roman" w:ascii="Times New Roman" w:hAnsi="Times New Roman"/>
                <w:bCs/>
                <w:sz w:val="20"/>
                <w:szCs w:val="20"/>
              </w:rPr>
              <w:t>Постановление Администрации города Шарыпово от 27.02.2018 № 58 «Об оценке регулирующего воздействия проектов нормативных  правовых актов муниципального образования  города Шарыпово и экспертизе нормативных правовых актов муниципального образования города Шарыпово  Красноярского края»</w:t>
            </w:r>
          </w:p>
        </w:tc>
        <w:tc>
          <w:tcPr>
            <w:tcW w:w="340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eastAsia="Times New Roman" w:cs="Times New Roman" w:ascii="Times New Roman" w:hAnsi="Times New Roman"/>
                <w:sz w:val="20"/>
                <w:szCs w:val="20"/>
                <w:lang w:eastAsia="ru-RU"/>
              </w:rPr>
              <w:t xml:space="preserve">В плане  проведения экспертизы нормативных правовых актов </w:t>
            </w:r>
          </w:p>
          <w:p>
            <w:pPr>
              <w:pStyle w:val="Normal"/>
              <w:widowControl w:val="false"/>
              <w:jc w:val="center"/>
              <w:rPr>
                <w:rFonts w:ascii="Times New Roman" w:hAnsi="Times New Roman" w:cs="Times New Roman"/>
                <w:sz w:val="20"/>
                <w:szCs w:val="20"/>
              </w:rPr>
            </w:pPr>
            <w:r>
              <w:rPr>
                <w:rFonts w:cs="Times New Roman" w:ascii="Times New Roman" w:hAnsi="Times New Roman"/>
                <w:color w:val="000000"/>
                <w:sz w:val="20"/>
                <w:szCs w:val="20"/>
              </w:rPr>
              <w:t>муниципального образования города Шарыпово</w:t>
            </w:r>
            <w:r>
              <w:rPr>
                <w:rFonts w:eastAsia="Times New Roman" w:cs="Times New Roman" w:ascii="Times New Roman" w:hAnsi="Times New Roman"/>
                <w:b/>
                <w:color w:val="000000"/>
                <w:sz w:val="20"/>
                <w:szCs w:val="20"/>
                <w:lang w:eastAsia="ru-RU"/>
              </w:rPr>
              <w:t xml:space="preserve"> </w:t>
            </w:r>
            <w:r>
              <w:rPr>
                <w:rFonts w:eastAsia="Times New Roman" w:cs="Times New Roman" w:ascii="Times New Roman" w:hAnsi="Times New Roman"/>
                <w:color w:val="000000"/>
                <w:sz w:val="20"/>
                <w:szCs w:val="20"/>
                <w:lang w:eastAsia="ru-RU"/>
              </w:rPr>
              <w:t>на 2021 год -  рассмотрение 4 нормативно-правовых актов.</w:t>
            </w:r>
          </w:p>
        </w:tc>
        <w:tc>
          <w:tcPr>
            <w:tcW w:w="163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 xml:space="preserve">Не более </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30 дней на каждый проект нормативного правового акта</w:t>
            </w:r>
          </w:p>
        </w:tc>
        <w:tc>
          <w:tcPr>
            <w:tcW w:w="2948"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Первый заместитель Главы города Шарыпово</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Юридический отдел</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Администрации города Шарыпово</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tc>
      </w:tr>
      <w:tr>
        <w:trPr>
          <w:trHeight w:val="170" w:hRule="atLeast"/>
        </w:trPr>
        <w:tc>
          <w:tcPr>
            <w:tcW w:w="641"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2957" w:type="dxa"/>
            <w:tcBorders>
              <w:left w:val="single" w:sz="8" w:space="0" w:color="000000"/>
              <w:bottom w:val="single" w:sz="8" w:space="0" w:color="000000"/>
              <w:insideH w:val="single" w:sz="8" w:space="0" w:color="000000"/>
            </w:tcBorders>
            <w:shd w:color="auto" w:fill="FFFFFF"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Создание условий для развития конкуренции на рынке социальных услуг. Муниципальная поддержка социально ориентированных некоммерческих организаций в рамках муниципальных программ </w:t>
            </w:r>
          </w:p>
        </w:tc>
        <w:tc>
          <w:tcPr>
            <w:tcW w:w="328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eastAsia="Times New Roman" w:cs="Times New Roman" w:ascii="Times New Roman" w:hAnsi="Times New Roman"/>
                <w:sz w:val="20"/>
                <w:szCs w:val="20"/>
                <w:lang w:eastAsia="ru-RU"/>
              </w:rPr>
              <w:t>Не развит рынок социальный услуг на базе НКО и СОО</w:t>
            </w:r>
          </w:p>
          <w:p>
            <w:pPr>
              <w:pStyle w:val="ConsNormal"/>
              <w:widowControl w:val="false"/>
              <w:snapToGrid w:val="false"/>
              <w:ind w:hanging="0"/>
              <w:jc w:val="center"/>
              <w:rPr>
                <w:rFonts w:ascii="Times New Roman" w:hAnsi="Times New Roman" w:eastAsia="Calibri" w:cs="Times New Roman"/>
                <w:lang w:eastAsia="en-US"/>
              </w:rPr>
            </w:pPr>
            <w:r>
              <w:rPr>
                <w:rFonts w:eastAsia="Calibri" w:cs="Times New Roman" w:ascii="Times New Roman" w:hAnsi="Times New Roman"/>
                <w:lang w:eastAsia="en-US"/>
              </w:rPr>
            </w:r>
          </w:p>
        </w:tc>
        <w:tc>
          <w:tcPr>
            <w:tcW w:w="340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Оказана консультационная и методическая поддержка НКО и СОО в 2021 году — 6 ед.  Проведен муниципальный конкурс грантовых заявок в рамках подпрограммы «Управление  развитием отрасли физической культуры и спорта» подано 26 заявок одобрено 12 .</w:t>
            </w:r>
          </w:p>
        </w:tc>
        <w:tc>
          <w:tcPr>
            <w:tcW w:w="163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2019-2022 годы</w:t>
            </w:r>
          </w:p>
        </w:tc>
        <w:tc>
          <w:tcPr>
            <w:tcW w:w="2948"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snapToGrid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Отдел спорта и молодежной политики Администрации города Шарыпово</w:t>
            </w:r>
          </w:p>
        </w:tc>
      </w:tr>
      <w:tr>
        <w:trPr>
          <w:trHeight w:val="170" w:hRule="atLeast"/>
        </w:trPr>
        <w:tc>
          <w:tcPr>
            <w:tcW w:w="641"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2957" w:type="dxa"/>
            <w:tcBorders>
              <w:left w:val="single" w:sz="8" w:space="0" w:color="000000"/>
              <w:bottom w:val="single" w:sz="8" w:space="0" w:color="000000"/>
              <w:insideH w:val="single" w:sz="8" w:space="0" w:color="000000"/>
            </w:tcBorders>
            <w:shd w:color="auto" w:fill="FFFFFF"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 xml:space="preserve">Информирование субъектов предпринимательской деятельности о мерах,  принимаемых  органами местного самоуправления в целях улучшения условий ведения бизнеса, посредством проведения круглых столов, распространение печатных и иных материалов </w:t>
            </w:r>
          </w:p>
        </w:tc>
        <w:tc>
          <w:tcPr>
            <w:tcW w:w="328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 xml:space="preserve">Организация и проведение общественных и деловых мероприятий предпринимателей, предпринимательских </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объединений с привлечением органов исполнительной власти, структур поддержки малого и среднего предпринимательства города Шарыпово.</w:t>
            </w:r>
          </w:p>
        </w:tc>
        <w:tc>
          <w:tcPr>
            <w:tcW w:w="340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color w:val="000000"/>
                <w:sz w:val="20"/>
                <w:szCs w:val="20"/>
              </w:rPr>
              <w:t>Размещение публикаций в СМИ,</w:t>
            </w:r>
          </w:p>
          <w:p>
            <w:pPr>
              <w:pStyle w:val="Normal"/>
              <w:widowControl w:val="false"/>
              <w:jc w:val="center"/>
              <w:rPr>
                <w:rFonts w:ascii="Times New Roman" w:hAnsi="Times New Roman" w:cs="Times New Roman"/>
                <w:sz w:val="20"/>
                <w:szCs w:val="20"/>
              </w:rPr>
            </w:pPr>
            <w:r>
              <w:rPr>
                <w:rFonts w:cs="Times New Roman" w:ascii="Times New Roman" w:hAnsi="Times New Roman"/>
                <w:color w:val="000000"/>
                <w:sz w:val="20"/>
                <w:szCs w:val="20"/>
              </w:rPr>
              <w:t>размещение информации для СМСП в СМИ, на сайте gorodsharypovo.ru – вкладка «В помощь бизнесу»,  консультации.</w:t>
            </w:r>
          </w:p>
        </w:tc>
        <w:tc>
          <w:tcPr>
            <w:tcW w:w="163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Постоянно</w:t>
            </w:r>
          </w:p>
        </w:tc>
        <w:tc>
          <w:tcPr>
            <w:tcW w:w="2948"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Первый заместитель Главы города Шарыпово</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Отдел экономики и планирования Администрации города Шарыпово</w:t>
            </w:r>
          </w:p>
        </w:tc>
      </w:tr>
      <w:tr>
        <w:trPr>
          <w:trHeight w:val="170" w:hRule="atLeast"/>
        </w:trPr>
        <w:tc>
          <w:tcPr>
            <w:tcW w:w="641"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2.5</w:t>
            </w:r>
          </w:p>
        </w:tc>
        <w:tc>
          <w:tcPr>
            <w:tcW w:w="2957" w:type="dxa"/>
            <w:tcBorders>
              <w:left w:val="single" w:sz="8" w:space="0" w:color="000000"/>
              <w:bottom w:val="single" w:sz="8" w:space="0" w:color="000000"/>
              <w:insideH w:val="single" w:sz="8" w:space="0" w:color="000000"/>
            </w:tcBorders>
            <w:shd w:color="auto" w:fill="FFFFFF" w:val="clear"/>
          </w:tcPr>
          <w:p>
            <w:pPr>
              <w:pStyle w:val="Normal"/>
              <w:widowControl w:val="false"/>
              <w:rPr>
                <w:rFonts w:ascii="Times New Roman" w:hAnsi="Times New Roman" w:cs="Times New Roman"/>
                <w:sz w:val="20"/>
                <w:szCs w:val="20"/>
              </w:rPr>
            </w:pPr>
            <w:r>
              <w:rPr>
                <w:rFonts w:cs="Times New Roman" w:ascii="Times New Roman" w:hAnsi="Times New Roman"/>
                <w:sz w:val="20"/>
                <w:szCs w:val="20"/>
              </w:rPr>
              <w:t>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pPr>
              <w:pStyle w:val="Normal"/>
              <w:widowControl w:val="false"/>
              <w:rPr>
                <w:rFonts w:ascii="Times New Roman" w:hAnsi="Times New Roman" w:cs="Times New Roman"/>
                <w:sz w:val="20"/>
                <w:szCs w:val="20"/>
              </w:rPr>
            </w:pPr>
            <w:r>
              <w:rPr>
                <w:rFonts w:cs="Times New Roman" w:ascii="Times New Roman" w:hAnsi="Times New Roman"/>
                <w:sz w:val="20"/>
                <w:szCs w:val="20"/>
              </w:rPr>
            </w:r>
          </w:p>
        </w:tc>
        <w:tc>
          <w:tcPr>
            <w:tcW w:w="328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pPr>
            <w:r>
              <w:rPr>
                <w:rFonts w:cs="Times New Roman" w:ascii="Times New Roman" w:hAnsi="Times New Roman"/>
                <w:sz w:val="20"/>
                <w:szCs w:val="20"/>
              </w:rPr>
              <w:t xml:space="preserve">Недостаточная поддержка субъектов малого и среднего предпринимательства при закупках в соответствии с законом о контрактной системе и Федеральным </w:t>
            </w:r>
            <w:hyperlink r:id="rId6">
              <w:r>
                <w:rPr>
                  <w:rStyle w:val="ListLabel4"/>
                  <w:rFonts w:cs="Times New Roman" w:ascii="Times New Roman" w:hAnsi="Times New Roman"/>
                  <w:sz w:val="20"/>
                  <w:szCs w:val="20"/>
                </w:rPr>
                <w:t>законом</w:t>
              </w:r>
            </w:hyperlink>
            <w:r>
              <w:rPr>
                <w:rFonts w:cs="Times New Roman" w:ascii="Times New Roman" w:hAnsi="Times New Roman"/>
                <w:sz w:val="20"/>
                <w:szCs w:val="20"/>
              </w:rPr>
              <w:t xml:space="preserve"> "О закупках товаров, работ, услуг отдельными видами юридических лиц"</w:t>
            </w:r>
          </w:p>
        </w:tc>
        <w:tc>
          <w:tcPr>
            <w:tcW w:w="340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Развитие конкуренции при осуществлении процедур  муниципальных закупок, за счет расширения участия в указанных процедурах субъектов малого и среднего предпринимательства:</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2019-17 ед.</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2020- 17 ед.</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2021- 23 ед.</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tc>
        <w:tc>
          <w:tcPr>
            <w:tcW w:w="1636" w:type="dxa"/>
            <w:tcBorders>
              <w:left w:val="single" w:sz="8" w:space="0" w:color="000000"/>
              <w:bottom w:val="single" w:sz="8" w:space="0" w:color="000000"/>
              <w:insideH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2019-2022 годы</w:t>
            </w:r>
          </w:p>
        </w:tc>
        <w:tc>
          <w:tcPr>
            <w:tcW w:w="2948" w:type="dxa"/>
            <w:tcBorders>
              <w:left w:val="single" w:sz="8" w:space="0" w:color="000000"/>
              <w:bottom w:val="single" w:sz="8" w:space="0" w:color="000000"/>
              <w:right w:val="single" w:sz="8" w:space="0" w:color="000000"/>
              <w:insideH w:val="single" w:sz="8" w:space="0" w:color="000000"/>
              <w:insideV w:val="single" w:sz="8" w:space="0" w:color="000000"/>
            </w:tcBorders>
            <w:shd w:color="auto" w:fill="FFFFFF" w:val="clear"/>
          </w:tcPr>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t>Муниципальные заказчики муниципального образования «город Шарыпово Красноярского края»</w:t>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p>
            <w:pPr>
              <w:pStyle w:val="Normal"/>
              <w:widowControl w:val="false"/>
              <w:jc w:val="center"/>
              <w:rPr>
                <w:rFonts w:ascii="Times New Roman" w:hAnsi="Times New Roman" w:cs="Times New Roman"/>
                <w:sz w:val="20"/>
                <w:szCs w:val="20"/>
              </w:rPr>
            </w:pPr>
            <w:r>
              <w:rPr>
                <w:rFonts w:cs="Times New Roman" w:ascii="Times New Roman" w:hAnsi="Times New Roman"/>
                <w:sz w:val="20"/>
                <w:szCs w:val="20"/>
              </w:rPr>
            </w:r>
          </w:p>
        </w:tc>
      </w:tr>
    </w:tbl>
    <w:p>
      <w:pPr>
        <w:sectPr>
          <w:headerReference w:type="default" r:id="rId7"/>
          <w:headerReference w:type="first" r:id="rId8"/>
          <w:footerReference w:type="default" r:id="rId9"/>
          <w:footerReference w:type="first" r:id="rId10"/>
          <w:type w:val="nextPage"/>
          <w:pgSz w:orient="landscape" w:w="16838" w:h="11906"/>
          <w:pgMar w:left="1701" w:right="851" w:header="709" w:top="766" w:footer="709" w:bottom="766" w:gutter="0"/>
          <w:pgNumType w:fmt="decimal"/>
          <w:formProt w:val="false"/>
          <w:titlePg/>
          <w:textDirection w:val="lrTb"/>
          <w:docGrid w:type="default" w:linePitch="360" w:charSpace="0"/>
        </w:sectPr>
      </w:pPr>
    </w:p>
    <w:p>
      <w:pPr>
        <w:pStyle w:val="Normal"/>
        <w:shd w:val="clear" w:color="auto" w:fill="FFFFFF"/>
        <w:rPr/>
      </w:pPr>
      <w:r>
        <w:rPr/>
      </w:r>
    </w:p>
    <w:sectPr>
      <w:headerReference w:type="default" r:id="rId11"/>
      <w:footerReference w:type="default" r:id="rId12"/>
      <w:type w:val="nextPage"/>
      <w:pgSz w:orient="landscape" w:w="16838" w:h="11906"/>
      <w:pgMar w:left="1134" w:right="1134" w:header="0" w:top="1276" w:footer="708"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arial">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r>
  </w:p>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mc:AlternateContent>
        <mc:Choice Requires="wps">
          <w:drawing>
            <wp:anchor behindDoc="1" distT="0" distB="0" distL="114935" distR="114935" simplePos="0" locked="0" layoutInCell="1" allowOverlap="1" relativeHeight="10" wp14:anchorId="63DC5585">
              <wp:simplePos x="0" y="0"/>
              <wp:positionH relativeFrom="column">
                <wp:posOffset>0</wp:posOffset>
              </wp:positionH>
              <wp:positionV relativeFrom="paragraph">
                <wp:posOffset>635</wp:posOffset>
              </wp:positionV>
              <wp:extent cx="83185" cy="24765"/>
              <wp:effectExtent l="0" t="0" r="0" b="0"/>
              <wp:wrapSquare wrapText="largest"/>
              <wp:docPr id="1" name="Изображение1"/>
              <a:graphic xmlns:a="http://schemas.openxmlformats.org/drawingml/2006/main">
                <a:graphicData uri="http://schemas.microsoft.com/office/word/2010/wordprocessingShape">
                  <wps:wsp>
                    <wps:cNvSpPr/>
                    <wps:spPr>
                      <a:xfrm>
                        <a:off x="0" y="0"/>
                        <a:ext cx="82440" cy="24120"/>
                      </a:xfrm>
                      <a:prstGeom prst="rect">
                        <a:avLst/>
                      </a:prstGeom>
                      <a:solidFill>
                        <a:srgbClr val="ffffff"/>
                      </a:solidFill>
                      <a:ln w="9360">
                        <a:miter/>
                      </a:ln>
                    </wps:spPr>
                    <wps:style>
                      <a:lnRef idx="0"/>
                      <a:fillRef idx="0"/>
                      <a:effectRef idx="0"/>
                      <a:fontRef idx="minor"/>
                    </wps:style>
                    <wps:bodyPr/>
                  </wps:wsp>
                </a:graphicData>
              </a:graphic>
            </wp:anchor>
          </w:drawing>
        </mc:Choice>
        <mc:Fallback>
          <w:pict>
            <v:rect id="shape_0" ID="Изображение1" fillcolor="white" stroked="t" style="position:absolute;margin-left:0pt;margin-top:0.05pt;width:6.45pt;height:1.85pt" wp14:anchorId="63DC5585">
              <w10:wrap type="none"/>
              <v:fill o:detectmouseclick="t" type="solid" color2="black"/>
              <v:stroke color="black" weight="936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Noto Serif CJK SC" w:cs="Lohit Devanagari"/>
      <w:color w:val="auto"/>
      <w:kern w:val="2"/>
      <w:sz w:val="24"/>
      <w:szCs w:val="24"/>
      <w:lang w:val="ru-RU" w:eastAsia="zh-CN" w:bidi="hi-IN"/>
    </w:rPr>
  </w:style>
  <w:style w:type="paragraph" w:styleId="1">
    <w:name w:val="Heading 1"/>
    <w:basedOn w:val="Normal"/>
    <w:link w:val="10"/>
    <w:uiPriority w:val="9"/>
    <w:qFormat/>
    <w:rsid w:val="00c97695"/>
    <w:pPr>
      <w:keepNext w:val="true"/>
      <w:keepLines/>
      <w:spacing w:before="240" w:after="0"/>
      <w:outlineLvl w:val="0"/>
    </w:pPr>
    <w:rPr>
      <w:rFonts w:ascii="Calibri Light" w:hAnsi="Calibri Light" w:eastAsia="" w:cs="Mangal" w:asciiTheme="majorHAnsi" w:eastAsiaTheme="majorEastAsia" w:hAnsiTheme="majorHAnsi"/>
      <w:color w:val="2F5496" w:themeColor="accent1" w:themeShade="bf"/>
      <w:sz w:val="32"/>
      <w:szCs w:val="29"/>
    </w:rPr>
  </w:style>
  <w:style w:type="paragraph" w:styleId="3">
    <w:name w:val="Heading 3"/>
    <w:basedOn w:val="Normal"/>
    <w:uiPriority w:val="9"/>
    <w:unhideWhenUsed/>
    <w:qFormat/>
    <w:pPr>
      <w:numPr>
        <w:ilvl w:val="2"/>
        <w:numId w:val="1"/>
      </w:numPr>
      <w:outlineLvl w:val="2"/>
    </w:pPr>
    <w:rPr>
      <w:b/>
      <w:bCs/>
      <w:color w:val="000000"/>
      <w:sz w:val="27"/>
      <w:szCs w:val="27"/>
    </w:rPr>
  </w:style>
  <w:style w:type="character" w:styleId="DefaultParagraphFont" w:default="1">
    <w:name w:val="Default Paragraph Font"/>
    <w:uiPriority w:val="1"/>
    <w:semiHidden/>
    <w:unhideWhenUsed/>
    <w:qFormat/>
    <w:rPr/>
  </w:style>
  <w:style w:type="character" w:styleId="Style12">
    <w:name w:val="Интернет-ссылка"/>
    <w:basedOn w:val="DefaultParagraphFont"/>
    <w:uiPriority w:val="99"/>
    <w:unhideWhenUsed/>
    <w:rsid w:val="00e71256"/>
    <w:rPr>
      <w:color w:val="0563C1" w:themeColor="hyperlink"/>
      <w:u w:val="single"/>
    </w:rPr>
  </w:style>
  <w:style w:type="character" w:styleId="Style13" w:customStyle="1">
    <w:name w:val="Посещённая гиперссылка"/>
    <w:rPr>
      <w:color w:val="800080"/>
      <w:u w:val="single"/>
    </w:rPr>
  </w:style>
  <w:style w:type="character" w:styleId="Strong">
    <w:name w:val="Strong"/>
    <w:qFormat/>
    <w:rPr>
      <w:b/>
      <w:bCs/>
    </w:rPr>
  </w:style>
  <w:style w:type="character" w:styleId="Style14">
    <w:name w:val="Выделение"/>
    <w:qFormat/>
    <w:rPr>
      <w:i/>
      <w:iCs/>
    </w:rPr>
  </w:style>
  <w:style w:type="character" w:styleId="WW8Num2z0" w:customStyle="1">
    <w:name w:val="WW8Num2z0"/>
    <w:qFormat/>
    <w:rsid w:val="008e7401"/>
    <w:rPr/>
  </w:style>
  <w:style w:type="character" w:styleId="FontStyle14" w:customStyle="1">
    <w:name w:val="Font Style14"/>
    <w:qFormat/>
    <w:rsid w:val="00931d39"/>
    <w:rPr>
      <w:rFonts w:ascii="Times New Roman" w:hAnsi="Times New Roman" w:cs="Times New Roman"/>
      <w:b/>
      <w:bCs/>
      <w:sz w:val="26"/>
      <w:szCs w:val="26"/>
    </w:rPr>
  </w:style>
  <w:style w:type="character" w:styleId="11" w:customStyle="1">
    <w:name w:val="Заголовок 1 Знак"/>
    <w:basedOn w:val="DefaultParagraphFont"/>
    <w:link w:val="1"/>
    <w:uiPriority w:val="9"/>
    <w:qFormat/>
    <w:rsid w:val="00c97695"/>
    <w:rPr>
      <w:rFonts w:ascii="Calibri Light" w:hAnsi="Calibri Light" w:eastAsia="" w:cs="Mangal" w:asciiTheme="majorHAnsi" w:eastAsiaTheme="majorEastAsia" w:hAnsiTheme="majorHAnsi"/>
      <w:color w:val="2F5496" w:themeColor="accent1" w:themeShade="bf"/>
      <w:sz w:val="32"/>
      <w:szCs w:val="29"/>
    </w:rPr>
  </w:style>
  <w:style w:type="character" w:styleId="ListLabel1">
    <w:name w:val="ListLabel 1"/>
    <w:qFormat/>
    <w:rPr>
      <w:rFonts w:ascii="Times New Roman" w:hAnsi="Times New Roman" w:eastAsia="Calibri" w:cs="Times New Roman"/>
      <w:sz w:val="20"/>
      <w:szCs w:val="20"/>
      <w:lang w:eastAsia="en-US"/>
    </w:rPr>
  </w:style>
  <w:style w:type="character" w:styleId="ListLabel2">
    <w:name w:val="ListLabel 2"/>
    <w:qFormat/>
    <w:rPr>
      <w:rFonts w:ascii="Times New Roman" w:hAnsi="Times New Roman" w:eastAsia="Calibri" w:cs="Times New Roman"/>
      <w:sz w:val="20"/>
      <w:szCs w:val="20"/>
      <w:lang w:eastAsia="en-US" w:bidi="ar-SA"/>
    </w:rPr>
  </w:style>
  <w:style w:type="character" w:styleId="ListLabel3">
    <w:name w:val="ListLabel 3"/>
    <w:qFormat/>
    <w:rPr>
      <w:color w:val="auto"/>
      <w:sz w:val="20"/>
      <w:szCs w:val="20"/>
    </w:rPr>
  </w:style>
  <w:style w:type="character" w:styleId="ListLabel4">
    <w:name w:val="ListLabel 4"/>
    <w:qFormat/>
    <w:rPr>
      <w:rFonts w:ascii="Times New Roman" w:hAnsi="Times New Roman" w:cs="Times New Roman"/>
      <w:sz w:val="20"/>
      <w:szCs w:val="20"/>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Title"/>
    <w:basedOn w:val="Normal"/>
    <w:uiPriority w:val="10"/>
    <w:qFormat/>
    <w:pPr>
      <w:keepNext w:val="true"/>
      <w:spacing w:before="240" w:after="120"/>
    </w:pPr>
    <w:rPr>
      <w:rFonts w:ascii="Liberation Sans" w:hAnsi="Liberation Sans" w:eastAsia="Noto Sans CJK SC"/>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onsNormal" w:customStyle="1">
    <w:name w:val="ConsNormal"/>
    <w:qFormat/>
    <w:pPr>
      <w:widowControl/>
      <w:bidi w:val="0"/>
      <w:ind w:firstLine="720"/>
      <w:jc w:val="left"/>
    </w:pPr>
    <w:rPr>
      <w:rFonts w:ascii="Arial" w:hAnsi="Arial" w:eastAsia="Times New Roman" w:cs="Arial"/>
      <w:color w:val="auto"/>
      <w:kern w:val="2"/>
      <w:sz w:val="24"/>
      <w:szCs w:val="20"/>
      <w:lang w:bidi="ar-SA" w:val="ru-RU" w:eastAsia="zh-CN"/>
    </w:rPr>
  </w:style>
  <w:style w:type="paragraph" w:styleId="Style21" w:customStyle="1">
    <w:name w:val="Верхний и нижний колонтитулы"/>
    <w:basedOn w:val="Normal"/>
    <w:qFormat/>
    <w:pPr/>
    <w:rPr/>
  </w:style>
  <w:style w:type="paragraph" w:styleId="Style22">
    <w:name w:val="Header"/>
    <w:basedOn w:val="Normal"/>
    <w:pPr>
      <w:tabs>
        <w:tab w:val="center" w:pos="4677" w:leader="none"/>
        <w:tab w:val="right" w:pos="9355" w:leader="none"/>
      </w:tabs>
    </w:pPr>
    <w:rPr/>
  </w:style>
  <w:style w:type="paragraph" w:styleId="Style23">
    <w:name w:val="Footer"/>
    <w:basedOn w:val="Normal"/>
    <w:pPr>
      <w:tabs>
        <w:tab w:val="center" w:pos="4677" w:leader="none"/>
        <w:tab w:val="right" w:pos="9355" w:leader="none"/>
      </w:tabs>
    </w:pPr>
    <w:rPr/>
  </w:style>
  <w:style w:type="paragraph" w:styleId="Style24" w:customStyle="1">
    <w:name w:val="Верхний колонтитул слева"/>
    <w:basedOn w:val="Normal"/>
    <w:qFormat/>
    <w:pPr>
      <w:suppressLineNumbers/>
      <w:tabs>
        <w:tab w:val="center" w:pos="4875" w:leader="none"/>
        <w:tab w:val="right" w:pos="9751" w:leader="none"/>
      </w:tabs>
    </w:pPr>
    <w:rPr/>
  </w:style>
  <w:style w:type="paragraph" w:styleId="ListParagraph">
    <w:name w:val="List Paragraph"/>
    <w:basedOn w:val="Normal"/>
    <w:qFormat/>
    <w:pPr>
      <w:spacing w:before="0" w:after="0"/>
      <w:ind w:left="720" w:hanging="0"/>
      <w:contextualSpacing/>
    </w:pPr>
    <w:rPr/>
  </w:style>
  <w:style w:type="paragraph" w:styleId="ConsPlusNormal" w:customStyle="1">
    <w:name w:val="ConsPlusNormal"/>
    <w:qFormat/>
    <w:pPr>
      <w:widowControl/>
      <w:bidi w:val="0"/>
      <w:jc w:val="left"/>
    </w:pPr>
    <w:rPr>
      <w:rFonts w:ascii="Arial" w:hAnsi="Arial" w:eastAsia="Times New Roman" w:cs="Arial"/>
      <w:color w:val="auto"/>
      <w:kern w:val="2"/>
      <w:sz w:val="24"/>
      <w:szCs w:val="20"/>
      <w:lang w:bidi="ar-SA" w:val="ru-RU" w:eastAsia="zh-CN"/>
    </w:rPr>
  </w:style>
  <w:style w:type="paragraph" w:styleId="NoSpacing">
    <w:name w:val="No Spacing"/>
    <w:qFormat/>
    <w:pPr>
      <w:widowControl/>
      <w:bidi w:val="0"/>
      <w:jc w:val="left"/>
    </w:pPr>
    <w:rPr>
      <w:rFonts w:ascii="Calibri" w:hAnsi="Calibri" w:eastAsia="Calibri" w:cs="Calibri"/>
      <w:color w:val="auto"/>
      <w:kern w:val="2"/>
      <w:sz w:val="22"/>
      <w:szCs w:val="22"/>
      <w:lang w:bidi="ar-SA" w:val="ru-RU" w:eastAsia="zh-CN"/>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ConsPlusNonformat" w:customStyle="1">
    <w:name w:val="ConsPlusNonformat"/>
    <w:qFormat/>
    <w:pPr>
      <w:widowControl w:val="false"/>
      <w:bidi w:val="0"/>
      <w:jc w:val="left"/>
    </w:pPr>
    <w:rPr>
      <w:rFonts w:ascii="Courier New" w:hAnsi="Courier New" w:cs="Courier New" w:eastAsia="Noto Serif CJK SC"/>
      <w:color w:val="auto"/>
      <w:kern w:val="2"/>
      <w:sz w:val="24"/>
      <w:szCs w:val="24"/>
      <w:lang w:val="ru-RU" w:eastAsia="zh-CN" w:bidi="hi-IN"/>
    </w:rPr>
  </w:style>
  <w:style w:type="paragraph" w:styleId="12" w:customStyle="1">
    <w:name w:val="Название объекта1"/>
    <w:basedOn w:val="Normal"/>
    <w:qFormat/>
    <w:pPr>
      <w:keepNext w:val="true"/>
      <w:jc w:val="both"/>
    </w:pPr>
    <w:rPr>
      <w:rFonts w:ascii="Times New Roman" w:hAnsi="Times New Roman" w:eastAsia="Times New Roman" w:cs="Times New Roman"/>
      <w:b/>
      <w:bCs/>
      <w:kern w:val="0"/>
      <w:szCs w:val="18"/>
      <w:lang w:bidi="ar-SA"/>
    </w:rPr>
  </w:style>
  <w:style w:type="paragraph" w:styleId="NormalWeb">
    <w:name w:val="Normal (Web)"/>
    <w:basedOn w:val="Normal"/>
    <w:uiPriority w:val="99"/>
    <w:unhideWhenUsed/>
    <w:qFormat/>
    <w:rsid w:val="00972a9d"/>
    <w:pPr>
      <w:suppressAutoHyphens w:val="false"/>
      <w:spacing w:beforeAutospacing="1" w:afterAutospacing="1"/>
    </w:pPr>
    <w:rPr>
      <w:rFonts w:ascii="Times New Roman" w:hAnsi="Times New Roman" w:eastAsia="Times New Roman" w:cs="Times New Roman"/>
      <w:kern w:val="0"/>
      <w:lang w:eastAsia="ru-RU" w:bidi="ar-SA"/>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news-by-category/standart_konkurenciya/" TargetMode="External"/><Relationship Id="rId3" Type="http://schemas.openxmlformats.org/officeDocument/2006/relationships/hyperlink" Target="http://www.gorodsharypovo.ru/" TargetMode="External"/><Relationship Id="rId4" Type="http://schemas.openxmlformats.org/officeDocument/2006/relationships/hyperlink" Target="http://duc.sharobr.ru/" TargetMode="External"/><Relationship Id="rId5" Type="http://schemas.openxmlformats.org/officeDocument/2006/relationships/hyperlink" Target="http://www.gorodsharypovo.ru/" TargetMode="External"/><Relationship Id="rId6" Type="http://schemas.openxmlformats.org/officeDocument/2006/relationships/hyperlink" Target="consultantplus://offline/ref=818C41871BE4F2EAD3BF9FA2499A27984609B8001FAF7D38CBFC3758A25E5A22E8A12610AFF70086B1806F6FE7z3l4E"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LibreOffice/6.0.7.3$Linux_X86_64 LibreOffice_project/00m0$Build-3</Application>
  <Pages>10</Pages>
  <Words>3658</Words>
  <Characters>20853</Characters>
  <CharactersWithSpaces>24463</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2022-01-18T08:00:00Z</dcterms:created>
  <dc:creator>a2101</dc:creator>
  <dc:description/>
  <dc:language>ru-RU</dc:language>
  <cp:lastModifiedBy/>
  <dcterms:modified xsi:type="dcterms:W3CDTF">2022-01-18T15:58:08Z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