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1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91"/>
        <w:gridCol w:w="3081"/>
        <w:gridCol w:w="3314"/>
      </w:tblGrid>
      <w:tr>
        <w:trPr/>
        <w:tc>
          <w:tcPr>
            <w:tcW w:w="379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17 декабря 2020г.   в    16-00</w:t>
            </w:r>
          </w:p>
        </w:tc>
        <w:tc>
          <w:tcPr>
            <w:tcW w:w="308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3314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</w:t>
            </w:r>
            <w:r>
              <w:rPr>
                <w:sz w:val="28"/>
                <w:szCs w:val="28"/>
                <w:highlight w:val="yellow"/>
              </w:rPr>
              <w:t>23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977" w:type="dxa"/>
        <w:jc w:val="left"/>
        <w:tblInd w:w="152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3262"/>
        <w:gridCol w:w="6714"/>
      </w:tblGrid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Гудков Дмитрий Евгеньевич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Первый заместитель Главы города  Шарыпово, председатель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Рачеева Елена Викторовна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Начальник отдела экономики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</w:r>
          </w:p>
        </w:tc>
      </w:tr>
      <w:tr>
        <w:trPr>
          <w:trHeight w:val="879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3"/>
                <w:szCs w:val="23"/>
              </w:rPr>
            </w:pPr>
            <w:bookmarkStart w:id="0" w:name="__DdeLink__307_10450959662"/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Андриянова Ольга Геннадьевна</w:t>
            </w:r>
            <w:bookmarkEnd w:id="0"/>
          </w:p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Liberation Serif" w:hAnsi="Liberation Serif" w:eastAsia="Noto Serif CJK SC" w:cs="Lohit Devanagari"/>
                <w:color w:val="000000"/>
                <w:kern w:val="2"/>
                <w:sz w:val="23"/>
                <w:szCs w:val="23"/>
                <w:highlight w:val="yellow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3"/>
                <w:szCs w:val="23"/>
                <w:highlight w:val="yellow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16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val="ru-RU" w:eastAsia="zh-CN" w:bidi="hi-IN"/>
              </w:rPr>
              <w:t>Стескаль  Анна Викторовна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bidi w:val="0"/>
              <w:spacing w:before="0" w:after="16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val="ru-RU"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3"/>
                <w:szCs w:val="23"/>
                <w:lang w:eastAsia="zh-CN" w:bidi="hi-IN"/>
              </w:rPr>
              <w:t>Иванова Ирина Алексеевна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Гапанюк Юлия Сергеевна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Cs w:val="28"/>
              </w:rPr>
              <w:t>Юридический отдел Администрации города Шарыпово (по согласованию)</w:t>
            </w:r>
            <w:r>
              <w:rPr>
                <w:bCs/>
                <w:szCs w:val="28"/>
              </w:rPr>
              <w:t>;</w:t>
            </w:r>
          </w:p>
        </w:tc>
      </w:tr>
    </w:tbl>
    <w:p>
      <w:pPr>
        <w:pStyle w:val="ConsPlusTitle"/>
        <w:ind w:firstLine="709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b/>
          <w:color w:val="000000"/>
        </w:rPr>
        <w:t>Администрации города Шар</w:t>
      </w:r>
      <w:r>
        <w:rPr>
          <w:rStyle w:val="Strong"/>
          <w:b/>
          <w:color w:val="000000"/>
          <w:sz w:val="28"/>
          <w:szCs w:val="28"/>
        </w:rPr>
        <w:t>ыпово от 13.11.2017 № 1495 «</w:t>
      </w:r>
      <w:r>
        <w:rPr>
          <w:b w:val="false"/>
          <w:sz w:val="28"/>
          <w:szCs w:val="28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  <w:sz w:val="28"/>
          <w:szCs w:val="28"/>
        </w:rPr>
        <w:t>на территории муниципального образования</w:t>
      </w:r>
      <w:r>
        <w:rPr>
          <w:b w:val="false"/>
          <w:color w:val="000000"/>
          <w:sz w:val="28"/>
          <w:szCs w:val="28"/>
        </w:rPr>
        <w:t xml:space="preserve"> города Шарыпово Красноярского края</w:t>
      </w:r>
      <w:r>
        <w:rPr>
          <w:rStyle w:val="Strong"/>
          <w:b w:val="false"/>
          <w:bCs w:val="false"/>
          <w:color w:val="000000"/>
          <w:sz w:val="28"/>
          <w:szCs w:val="28"/>
        </w:rPr>
        <w:t xml:space="preserve">» </w:t>
      </w:r>
      <w:r>
        <w:rPr>
          <w:rStyle w:val="Strong"/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(далее - Комиссия).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hyperlink r:id="rId2">
        <w:r>
          <w:rPr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>Андриянова Ольга Геннадьевна</w:t>
      </w:r>
    </w:p>
    <w:p>
      <w:pPr>
        <w:pStyle w:val="Normal"/>
        <w:ind w:left="0" w:right="0" w:firstLine="714"/>
        <w:jc w:val="both"/>
        <w:rPr>
          <w:rFonts w:ascii="Times New Roman" w:hAnsi="Times New Roman"/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>
          <w:rFonts w:ascii="Times New Roman" w:hAnsi="Times New Roman"/>
          <w:sz w:val="28"/>
          <w:szCs w:val="28"/>
        </w:rPr>
      </w:pPr>
      <w:bookmarkStart w:id="1" w:name="__DdeLink__9757_3171882481"/>
      <w:bookmarkEnd w:id="1"/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На рассмотрение комиссии поступило ходатайство от </w:t>
      </w:r>
      <w:r>
        <w:rPr>
          <w:b/>
          <w:bCs/>
          <w:sz w:val="28"/>
          <w:szCs w:val="28"/>
        </w:rPr>
        <w:t xml:space="preserve">ООО «Сибирь и К» </w:t>
      </w:r>
      <w:r>
        <w:rPr>
          <w:b w:val="false"/>
          <w:bCs w:val="false"/>
          <w:sz w:val="28"/>
          <w:szCs w:val="28"/>
        </w:rPr>
        <w:t xml:space="preserve">от  25.08.2020 № 02-41/3012 о снижении арендной платы по договору № 43 от 29.11.2017г. на размещение временного сооружения по данным </w:t>
      </w:r>
      <w:r>
        <w:rPr>
          <w:b w:val="false"/>
          <w:bCs/>
          <w:sz w:val="28"/>
          <w:szCs w:val="28"/>
        </w:rPr>
        <w:t xml:space="preserve">постановления Администрации города Шарыпово  от 10.04.2018 № 133 </w:t>
      </w:r>
      <w:r>
        <w:rPr>
          <w:b w:val="false"/>
          <w:bCs w:val="false"/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края»:</w:t>
      </w:r>
    </w:p>
    <w:tbl>
      <w:tblPr>
        <w:tblW w:w="100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053"/>
        <w:gridCol w:w="2738"/>
        <w:gridCol w:w="1819"/>
        <w:gridCol w:w="2782"/>
      </w:tblGrid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Liberation Serif;Times New Roman" w:hAnsi="Liberation Serif;Times New Roman" w:cs="Liberation Serif;Times New Roman"/>
                <w:bCs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0"/>
                <w:szCs w:val="20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Автостоянка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Liberation Serif;Times New Roman" w:hAnsi="Liberation Serif;Times New Roman" w:cs="Liberation Serif;Times New Roman"/>
                <w:bCs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0"/>
                <w:szCs w:val="20"/>
              </w:rPr>
              <w:t>г. Шарыпово, пр. Центральный, 51А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Liberation Serif;Times New Roman" w:hAnsi="Liberation Serif;Times New Roman" w:cs="Liberation Serif;Times New Roman"/>
                <w:bCs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0"/>
                <w:szCs w:val="20"/>
              </w:rPr>
              <w:t>6892 м2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Liberation Serif;Times New Roman" w:hAnsi="Liberation Serif;Times New Roman" w:cs="Liberation Serif;Times New Roman"/>
                <w:bCs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z w:val="20"/>
                <w:szCs w:val="20"/>
              </w:rPr>
              <w:t>до 01.10.2023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(662314, КРАСНОЯРСКИЙ КРАЙ, ГОРОД ШАРЫПОВО, ПРОСПЕКТ ЦЕНТРАЛЬНЫЙ, 51А, ОГРН: 1022401742175, Дата присвоения ОГРН: 18.10.2002, ИНН: 2459003754, КПП: 245901001, Директор: Саломатов Александр Иванович)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Приложение № 1 в 1 экз. На 2л. (ходатайство)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/>
        <w:ind w:firstLine="709"/>
        <w:jc w:val="both"/>
        <w:rPr/>
      </w:pPr>
      <w:r>
        <w:rPr>
          <w:b/>
          <w:bCs/>
          <w:sz w:val="28"/>
          <w:szCs w:val="28"/>
        </w:rPr>
        <w:t xml:space="preserve">1.1. </w:t>
      </w:r>
      <w:r>
        <w:rPr>
          <w:b w:val="false"/>
          <w:bCs w:val="false"/>
          <w:sz w:val="28"/>
          <w:szCs w:val="28"/>
        </w:rPr>
        <w:t xml:space="preserve">В соответствии со статьей 66 </w:t>
      </w:r>
      <w:hyperlink r:id="rId3">
        <w:r>
          <w:rPr>
            <w:b w:val="false"/>
            <w:bCs w:val="false"/>
            <w:color w:val="000000"/>
            <w:sz w:val="28"/>
            <w:szCs w:val="28"/>
            <w:u w:val="none"/>
            <w:shd w:fill="auto" w:val="clear"/>
          </w:rPr>
          <w:t>Земельного кодекса Российской Федерации</w:t>
        </w:r>
      </w:hyperlink>
      <w:r>
        <w:rPr>
          <w:b w:val="false"/>
          <w:bCs w:val="false"/>
          <w:color w:val="000000"/>
          <w:sz w:val="28"/>
          <w:szCs w:val="28"/>
          <w:u w:val="none"/>
          <w:shd w:fill="auto" w:val="clear"/>
        </w:rPr>
        <w:t>, Федеральным законом от 29.07.1998 № 135-ФЗ "Об оценочной деятельности в Российской Федерации", пунктом 14 статьи 3 Закона Красноярского края от 04.12.2008 № 7-2542 "О регулировании земельных отношений в Красноярском крае", учитывая письмо Управления Федеральной службы государственной регистрации, кадастра и картографии по Красноярскому краю от 30.09.2019 № 49/22127 и   постановлени</w:t>
      </w:r>
      <w:r>
        <w:rPr>
          <w:b w:val="false"/>
          <w:bCs w:val="false"/>
          <w:color w:val="000000"/>
          <w:sz w:val="28"/>
          <w:szCs w:val="28"/>
          <w:u w:val="none"/>
          <w:shd w:fill="auto" w:val="clear"/>
        </w:rPr>
        <w:t>е</w:t>
      </w:r>
      <w:r>
        <w:rPr>
          <w:b w:val="false"/>
          <w:bCs w:val="false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u w:val="none"/>
          <w:shd w:fill="auto" w:val="clear"/>
        </w:rPr>
        <w:t>от 22 ноября 2011 года № 708-п</w:t>
      </w:r>
      <w:r>
        <w:rPr>
          <w:b w:val="false"/>
          <w:bCs w:val="false"/>
          <w:color w:val="000000"/>
          <w:sz w:val="28"/>
          <w:szCs w:val="28"/>
          <w:u w:val="none"/>
          <w:shd w:fill="auto" w:val="clear"/>
        </w:rPr>
        <w:t xml:space="preserve"> «Об утверждении результатов государственной кадастровой оценки земель населенных пунктов Красноярского края» </w:t>
      </w:r>
      <w:r>
        <w:rPr>
          <w:b w:val="false"/>
          <w:bCs w:val="false"/>
          <w:color w:val="000000"/>
          <w:sz w:val="28"/>
          <w:szCs w:val="28"/>
          <w:u w:val="single"/>
          <w:shd w:fill="auto" w:val="clear"/>
        </w:rPr>
        <w:t>утверждены</w:t>
      </w:r>
      <w:r>
        <w:rPr>
          <w:b w:val="false"/>
          <w:bCs w:val="false"/>
          <w:color w:val="000000"/>
          <w:sz w:val="28"/>
          <w:szCs w:val="28"/>
          <w:u w:val="none"/>
          <w:shd w:fill="auto" w:val="clear"/>
        </w:rPr>
        <w:t xml:space="preserve"> значения показателей для начисления размера арендной платы земельных участков расположенных на территории муниципального образования города Шарыпово Красноярского края на размещение временных сооружений на территории города Шарыпово.</w:t>
      </w:r>
    </w:p>
    <w:p>
      <w:pPr>
        <w:pStyle w:val="Style16"/>
        <w:spacing w:lineRule="auto" w:line="240"/>
        <w:ind w:firstLine="709"/>
        <w:jc w:val="both"/>
        <w:rPr/>
      </w:pPr>
      <w:r>
        <w:rPr>
          <w:b w:val="false"/>
          <w:bCs w:val="false"/>
          <w:sz w:val="28"/>
          <w:szCs w:val="28"/>
          <w:shd w:fill="auto" w:val="clear"/>
        </w:rPr>
        <w:t xml:space="preserve">В соответствии с п. 3.8  договора от  29.11.2017 № 43  </w:t>
      </w:r>
      <w:r>
        <w:rPr>
          <w:b w:val="false"/>
          <w:bCs w:val="false"/>
          <w:color w:val="000000"/>
          <w:sz w:val="28"/>
          <w:szCs w:val="28"/>
          <w:u w:val="none"/>
          <w:shd w:fill="auto" w:val="clear"/>
        </w:rPr>
        <w:t xml:space="preserve">на размещение временных сооружений на территории города Шарыпово размер годовой платы не может быть пересмотрен сторонами в сторону уменьшения. </w:t>
      </w:r>
    </w:p>
    <w:p>
      <w:pPr>
        <w:pStyle w:val="Normal"/>
        <w:spacing w:lineRule="auto" w:line="240"/>
        <w:ind w:firstLine="709"/>
        <w:jc w:val="both"/>
        <w:rPr/>
      </w:pPr>
      <w:r>
        <w:rPr>
          <w:b w:val="false"/>
          <w:bCs w:val="false"/>
          <w:sz w:val="28"/>
          <w:szCs w:val="28"/>
        </w:rPr>
        <w:t>В связи с этим изменение суммы договора возможно при уменьшении фактически занимаемой  площади арендуемого земельного участка.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7"/>
        <w:gridCol w:w="2667"/>
        <w:gridCol w:w="2343"/>
      </w:tblGrid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Ф.И.О.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Мнение каждого члена комиссии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Подписи членов комиссии</w:t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Гудков  Дмитрий Евгеньевич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Рачеева Елена Викторовна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Стескаль Анна Викторовна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Андриянова Ольга Геннадьевна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Иванова Ирина Алексеевна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 w:val="false"/>
                <w:b w:val="false"/>
                <w:bCs w:val="false"/>
                <w:color w:val="000000"/>
                <w:sz w:val="24"/>
                <w:szCs w:val="28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4"/>
                <w:szCs w:val="28"/>
                <w:lang w:eastAsia="zh-CN" w:bidi="hi-IN"/>
              </w:rPr>
              <w:t>Гапанюк Юлия Сергеевна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5"/>
        <w:gridCol w:w="2530"/>
        <w:gridCol w:w="4272"/>
      </w:tblGrid>
      <w:tr>
        <w:trPr/>
        <w:tc>
          <w:tcPr>
            <w:tcW w:w="322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22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22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029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 w:customStyle="1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 w:customStyle="1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Heading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Heading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 w:customStyle="1">
    <w:name w:val="Выделение жирным"/>
    <w:qFormat/>
    <w:rsid w:val="00ab6a5a"/>
    <w:rPr>
      <w:b/>
      <w:bCs/>
    </w:rPr>
  </w:style>
  <w:style w:type="paragraph" w:styleId="Style15" w:customStyle="1">
    <w:name w:val="Заголовок"/>
    <w:basedOn w:val="Normal"/>
    <w:next w:val="Style16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rsid w:val="00ab6a5a"/>
    <w:pPr/>
    <w:rPr>
      <w:rFonts w:cs="Lohit Devanagari"/>
    </w:rPr>
  </w:style>
  <w:style w:type="paragraph" w:styleId="Style18" w:customStyle="1">
    <w:name w:val="Caption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rsid w:val="00ab6a5a"/>
    <w:pPr/>
    <w:rPr/>
  </w:style>
  <w:style w:type="paragraph" w:styleId="Style22" w:customStyle="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 w:customStyle="1">
    <w:name w:val="Содержимое врезки"/>
    <w:basedOn w:val="Normal"/>
    <w:qFormat/>
    <w:rsid w:val="00ab6a5a"/>
    <w:pPr/>
    <w:rPr/>
  </w:style>
  <w:style w:type="paragraph" w:styleId="Style25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b6a5a"/>
    <w:pPr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P3">
    <w:name w:val="p3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27">
    <w:name w:val="Содержимое списка"/>
    <w:basedOn w:val="Normal"/>
    <w:qFormat/>
    <w:pPr>
      <w:ind w:left="567" w:hanging="0"/>
    </w:pPr>
    <w:rPr/>
  </w:style>
  <w:style w:type="paragraph" w:styleId="Style28">
    <w:name w:val="Заголовок списка"/>
    <w:basedOn w:val="Normal"/>
    <w:next w:val="Style27"/>
    <w:qFormat/>
    <w:pPr>
      <w:ind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01%20&#1042;&#1057;&#1071;%20&#1056;&#1040;&#1041;&#1054;&#1058;&#1040;/&#8470;%2001%20&#1053;&#1058;&#1054;%20&#1053;&#1058;&#1054;%20&#1050;&#1086;&#1084;&#1080;&#1089;&#1089;&#1080;&#1103;%20&#1053;&#1058;&#1054;/00%20&#1055;&#1056;&#1054;&#1058;&#1054;&#1050;&#1054;&#1051;&#1067;%20%20&#1042;&#1057;&#1045;1/&#1055;&#1088;&#1086;&#1090;&#1086;&#1082;&#1086;&#1083;%2023%20&#1053;&#1058;&#1054;/01%20&#1042;&#1057;&#1071;%20&#1056;&#1040;&#1041;&#1054;&#1058;&#1040;/&#8470;%2001%20&#1053;&#1058;&#1054;%20&#1053;&#1058;&#1054;%20&#1050;&#1086;&#1084;&#1080;&#1089;&#1089;&#1080;&#1103;%20&#1053;&#1058;&#1054;/00%20&#1055;&#1056;&#1054;&#1058;&#1054;&#1050;&#1054;&#1051;&#1067;%20%20&#1042;&#1057;&#1045;/&#1055;&#1088;&#1086;&#1090;&#1086;&#1082;&#1086;&#1083;%2023/&#1055;&#1088;&#1086;&#1090;&#1086;&#1082;&#1086;&#1083;%2022%20&#1053;&#1058;&#1054;/&#1055;&#1088;&#1086;&#1090;&#1086;&#1082;&#1086;&#1083;%2022%20&#1053;&#1058;&#1054;/&#1055;&#1088;&#1086;&#1090;&#1086;&#1082;&#1086;&#1083;%2021%20&#1053;&#1058;&#1054;/02%20&#1057;&#1045;&#1049;&#1063;&#1040;&#1057;%20%20&#1056;&#1040;&#1041;&#1054;&#1058;&#1040;/&#1055;&#1088;&#1086;&#1090;&#1086;&#1082;&#1086;&#1083;%2020%20&#1053;&#1058;&#1054;/01%20&#1042;&#1057;&#1071;%20&#1056;&#1040;&#1041;&#1054;&#1058;&#1040;/&#8470;%2001%20&#1050;&#1086;&#1084;&#1080;&#1089;&#1089;&#1080;&#1103;%20&#1053;&#1058;&#1054;/00%20&#1055;&#1056;&#1054;&#1058;&#1054;&#1050;&#1054;&#1051;&#1067;%20%20&#1042;&#1057;&#1045;/&#1055;&#1088;&#1086;&#1090;&#1086;&#1082;&#1086;&#1083;%2019%20&#1053;&#1058;&#1054;/1" TargetMode="External"/><Relationship Id="rId3" Type="http://schemas.openxmlformats.org/officeDocument/2006/relationships/hyperlink" Target="http://docs.cntd.ru/document/74410000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Application>LibreOffice/7.0.1.2$Windows_x86 LibreOffice_project/7cbcfc562f6eb6708b5ff7d7397325de9e764452</Application>
  <Pages>2</Pages>
  <Words>526</Words>
  <Characters>3745</Characters>
  <CharactersWithSpaces>4388</CharactersWithSpaces>
  <Paragraphs>59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2019-12-12T11:40:00Z</dcterms:created>
  <dc:creator>user</dc:creator>
  <dc:description/>
  <dc:language>ru-RU</dc:language>
  <cp:lastModifiedBy/>
  <cp:lastPrinted>2020-12-21T16:14:01Z</cp:lastPrinted>
  <dcterms:modified xsi:type="dcterms:W3CDTF">2020-12-24T14:52:39Z</dcterms:modified>
  <cp:revision>548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