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2"/>
        <w:widowControl/>
        <w:shd w:val="clear" w:fill="FFFFFF"/>
        <w:bidi w:val="0"/>
        <w:spacing w:before="0" w:after="0"/>
        <w:contextualSpacing/>
        <w:jc w:val="center"/>
        <w:rPr>
          <w:rFonts w:ascii="Liberation Serif;Times New Roman" w:hAnsi="Liberation Serif;Times New Roman" w:cs="Liberation Serif;Times New Roman"/>
          <w:b/>
          <w:b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b/>
          <w:sz w:val="28"/>
          <w:szCs w:val="28"/>
        </w:rPr>
        <w:t>ПРОТОКОЛ</w:t>
      </w:r>
    </w:p>
    <w:p>
      <w:pPr>
        <w:pStyle w:val="12"/>
        <w:widowControl/>
        <w:shd w:val="clear" w:fill="FFFFFF"/>
        <w:bidi w:val="0"/>
        <w:spacing w:before="0" w:after="0"/>
        <w:contextualSpacing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заседания комиссии координационного Совета по развитию </w:t>
      </w:r>
    </w:p>
    <w:p>
      <w:pPr>
        <w:pStyle w:val="12"/>
        <w:widowControl/>
        <w:shd w:val="clear" w:fill="FFFFFF"/>
        <w:bidi w:val="0"/>
        <w:spacing w:before="0" w:after="0"/>
        <w:contextualSpacing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малого и среднего  предпринимательства</w:t>
      </w:r>
    </w:p>
    <w:p>
      <w:pPr>
        <w:pStyle w:val="Normal"/>
        <w:ind w:left="0" w:right="0" w:firstLine="709"/>
        <w:jc w:val="center"/>
        <w:rPr>
          <w:rFonts w:ascii="Liberation Serif;Times New Roman" w:hAnsi="Liberation Serif;Times New Roman" w:cs="Liberation Serif;Times New Roman"/>
          <w:b/>
          <w:b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b/>
          <w:sz w:val="28"/>
          <w:szCs w:val="28"/>
        </w:rPr>
      </w:r>
    </w:p>
    <w:p>
      <w:pPr>
        <w:pStyle w:val="Normal"/>
        <w:rPr/>
      </w:pP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>2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</w:rPr>
        <w:t>5</w:t>
      </w:r>
      <w:r>
        <w:rPr>
          <w:b w:val="false"/>
          <w:bCs w:val="false"/>
          <w:sz w:val="28"/>
          <w:szCs w:val="28"/>
        </w:rPr>
        <w:t xml:space="preserve">.11.2019  в 16-00  </w:t>
      </w:r>
      <w:r>
        <w:rPr>
          <w:sz w:val="28"/>
          <w:szCs w:val="28"/>
        </w:rPr>
        <w:t xml:space="preserve">                    город Шарыпово                                          №  02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28" w:type="dxa"/>
        <w:jc w:val="left"/>
        <w:tblInd w:w="8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6"/>
        <w:gridCol w:w="5371"/>
      </w:tblGrid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Петровская Наталья Александровна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Глава города Шарыпово, п</w:t>
            </w:r>
            <w:r>
              <w:rPr>
                <w:color w:val="000000"/>
                <w:sz w:val="28"/>
                <w:szCs w:val="28"/>
              </w:rPr>
              <w:t>редседатель комиссии;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Асанова Анна Петровна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 городского Совета депутатов;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ind w:left="-250" w:right="0" w:firstLine="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Гудков  Дмитрий Евгеньевич 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Первый заместитель Главы города Шарыпово, заместитель </w:t>
            </w:r>
            <w:r>
              <w:rPr>
                <w:sz w:val="28"/>
                <w:szCs w:val="28"/>
                <w:lang w:eastAsia="en-US"/>
              </w:rPr>
              <w:t>председателя комиссии;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Рачеева Елена Викторовна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планирования Администрации г.Шарыпово, заместитель председателя комиссии;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Киселева Анна Викторовна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вопросам развития предпринимательства и потребительского рынка, секретарь комиссии;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Жилейкин Александр Семенович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 Алиосман Джабархан оглы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«Лейла+»;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Миназутдинов Сергей Шайхлислямович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предприниматель;</w:t>
            </w:r>
          </w:p>
        </w:tc>
      </w:tr>
      <w:tr>
        <w:trPr/>
        <w:tc>
          <w:tcPr>
            <w:tcW w:w="4256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Горбацевич Александр Геннадьевич</w:t>
            </w:r>
          </w:p>
        </w:tc>
        <w:tc>
          <w:tcPr>
            <w:tcW w:w="5371" w:type="dxa"/>
            <w:tcBorders/>
            <w:shd w:fill="auto" w:val="clear"/>
          </w:tcPr>
          <w:p>
            <w:pPr>
              <w:pStyle w:val="Normal"/>
              <w:bidi w:val="0"/>
              <w:ind w:left="0" w:righ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</w:tbl>
    <w:p>
      <w:pPr>
        <w:pStyle w:val="Normal"/>
        <w:ind w:left="0" w:right="0" w:firstLine="714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left="0" w:right="0" w:firstLine="714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left="0" w:right="0" w:firstLine="714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left="0" w:right="0" w:firstLine="714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Приглашенные:</w:t>
      </w:r>
    </w:p>
    <w:p>
      <w:pPr>
        <w:pStyle w:val="Normal"/>
        <w:ind w:left="0" w:right="0" w:firstLine="714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ind w:left="0" w:right="0" w:firstLine="714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tbl>
      <w:tblPr>
        <w:tblW w:w="9570" w:type="dxa"/>
        <w:jc w:val="left"/>
        <w:tblInd w:w="11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4"/>
        <w:gridCol w:w="5325"/>
      </w:tblGrid>
      <w:tr>
        <w:trPr/>
        <w:tc>
          <w:tcPr>
            <w:tcW w:w="42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Бурбело Татьяны Ивановны</w:t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Normal"/>
              <w:widowControl/>
              <w:ind w:left="0" w:right="0" w:hanging="0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АНО «Агентство поддержки МСБ г. Шарыпово» </w:t>
            </w:r>
          </w:p>
        </w:tc>
      </w:tr>
      <w:tr>
        <w:trPr/>
        <w:tc>
          <w:tcPr>
            <w:tcW w:w="4244" w:type="dxa"/>
            <w:tcBorders/>
            <w:shd w:fill="auto" w:val="clear"/>
          </w:tcPr>
          <w:p>
            <w:pPr>
              <w:pStyle w:val="Normal"/>
              <w:widowControl/>
              <w:snapToGrid w:val="false"/>
              <w:spacing w:lineRule="auto" w:line="240" w:before="0" w:after="0"/>
              <w:ind w:left="0" w:right="0" w:hanging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Баширова Загиба Исламгареевна</w:t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Normal"/>
              <w:widowControl/>
              <w:snapToGrid w:val="false"/>
              <w:spacing w:lineRule="auto" w:line="240" w:before="0" w:after="0"/>
              <w:ind w:left="0" w:right="0" w:hanging="0"/>
              <w:jc w:val="left"/>
              <w:rPr>
                <w:rFonts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Индивидуальный предприниматель</w:t>
            </w:r>
          </w:p>
        </w:tc>
      </w:tr>
      <w:tr>
        <w:trPr/>
        <w:tc>
          <w:tcPr>
            <w:tcW w:w="4244" w:type="dxa"/>
            <w:tcBorders/>
            <w:shd w:fill="auto" w:val="clear"/>
          </w:tcPr>
          <w:p>
            <w:pPr>
              <w:pStyle w:val="ConsPlusNonformat"/>
              <w:widowControl/>
              <w:snapToGrid w:val="fals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Федорова Татьяна Ивановна</w:t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ConsPlusNonformat"/>
              <w:widowControl/>
              <w:snapToGrid w:val="fals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  <w:u w:val="none"/>
              </w:rPr>
              <w:t>Д</w:t>
            </w: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 xml:space="preserve">иректор ООО «Ком-Сервис» </w:t>
            </w:r>
          </w:p>
        </w:tc>
      </w:tr>
      <w:tr>
        <w:trPr/>
        <w:tc>
          <w:tcPr>
            <w:tcW w:w="4244" w:type="dxa"/>
            <w:tcBorders/>
            <w:shd w:fill="auto" w:val="clear"/>
          </w:tcPr>
          <w:p>
            <w:pPr>
              <w:pStyle w:val="Normal"/>
              <w:widowControl/>
              <w:snapToGrid w:val="false"/>
              <w:spacing w:lineRule="auto" w:line="240" w:before="0" w:after="0"/>
              <w:ind w:left="0" w:right="0" w:hanging="0"/>
              <w:jc w:val="left"/>
              <w:rPr>
                <w:rFonts w:cs="Times New Roman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cs="Times New Roman"/>
                <w:b w:val="false"/>
                <w:bCs w:val="false"/>
                <w:sz w:val="28"/>
                <w:szCs w:val="28"/>
              </w:rPr>
              <w:t>Бабаев Джамиль Матиевич</w:t>
            </w:r>
          </w:p>
        </w:tc>
        <w:tc>
          <w:tcPr>
            <w:tcW w:w="5325" w:type="dxa"/>
            <w:tcBorders/>
            <w:shd w:fill="auto" w:val="clear"/>
          </w:tcPr>
          <w:p>
            <w:pPr>
              <w:pStyle w:val="Normal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«Инголь Аква»</w:t>
            </w:r>
          </w:p>
        </w:tc>
      </w:tr>
    </w:tbl>
    <w:p>
      <w:pPr>
        <w:pStyle w:val="Normal"/>
        <w:ind w:left="0" w:right="0" w:firstLine="714"/>
        <w:jc w:val="both"/>
        <w:rPr/>
      </w:pPr>
      <w:r>
        <w:rPr/>
      </w:r>
    </w:p>
    <w:p>
      <w:pPr>
        <w:pStyle w:val="Normal"/>
        <w:ind w:left="0" w:right="0" w:firstLine="714"/>
        <w:rPr/>
      </w:pPr>
      <w:r>
        <w:rPr/>
      </w:r>
    </w:p>
    <w:p>
      <w:pPr>
        <w:pStyle w:val="Normal"/>
        <w:ind w:left="0" w:right="0" w:firstLine="714"/>
        <w:rPr/>
      </w:pPr>
      <w:r>
        <w:rPr/>
      </w:r>
    </w:p>
    <w:p>
      <w:pPr>
        <w:pStyle w:val="Normal"/>
        <w:ind w:left="0" w:right="0" w:firstLine="714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Повестка заседания:</w:t>
      </w:r>
    </w:p>
    <w:p>
      <w:pPr>
        <w:pStyle w:val="Normal"/>
        <w:ind w:left="0" w:right="0" w:firstLine="714"/>
        <w:jc w:val="both"/>
        <w:rPr>
          <w:rFonts w:cs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cs="Times New Roman"/>
          <w:b/>
          <w:bCs/>
          <w:color w:val="000000"/>
          <w:sz w:val="28"/>
          <w:szCs w:val="28"/>
          <w:u w:val="none"/>
        </w:rPr>
        <w:t>Докладчик:  Рачеева Елена Викторовна</w:t>
      </w:r>
    </w:p>
    <w:p>
      <w:pPr>
        <w:pStyle w:val="Normal"/>
        <w:ind w:left="0" w:right="0" w:firstLine="714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lineRule="auto" w:line="240"/>
        <w:ind w:left="0" w:right="0" w:firstLine="714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вопросам повестки:</w:t>
      </w:r>
    </w:p>
    <w:p>
      <w:pPr>
        <w:pStyle w:val="Normal"/>
        <w:spacing w:lineRule="auto" w:line="240"/>
        <w:ind w:left="0" w:right="0" w:firstLine="714"/>
        <w:jc w:val="both"/>
        <w:rPr/>
      </w:pPr>
      <w:r>
        <w:rPr>
          <w:b/>
          <w:sz w:val="28"/>
          <w:szCs w:val="28"/>
          <w:highlight w:val="darkYellow"/>
        </w:rPr>
        <w:t xml:space="preserve">Вопрос № 1: 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Слушали:</w:t>
      </w:r>
    </w:p>
    <w:p>
      <w:pPr>
        <w:pStyle w:val="Normal"/>
        <w:spacing w:lineRule="auto" w:line="240" w:before="0" w:after="0"/>
        <w:ind w:left="0" w:right="0" w:firstLine="714"/>
        <w:rPr>
          <w:sz w:val="28"/>
          <w:szCs w:val="28"/>
        </w:rPr>
      </w:pPr>
      <w:r>
        <w:rPr>
          <w:sz w:val="28"/>
          <w:szCs w:val="28"/>
        </w:rPr>
        <w:t>Докладчик:  Рачеева Елена Викторовна</w:t>
      </w:r>
    </w:p>
    <w:p>
      <w:pPr>
        <w:pStyle w:val="Normal"/>
        <w:spacing w:lineRule="auto" w:line="240" w:before="0" w:after="0"/>
        <w:ind w:left="0" w:right="0" w:firstLine="714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Уважаемые предприниматели! Проводится обсуждение проекта стратегии развития торговли в Российской Федерации до 2025 года.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/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 xml:space="preserve">Администрация города Шарыпово просит 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>предпринимателям принять активное участие в обсуждении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 xml:space="preserve"> Проекта Стратегии развития торговли в Российской Федерации до 2025 года.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Минпромторг России опубликовал проект стратегии развития торговли в России до 2025г. Как отмечает ведомство, основная цель - построение системы, которая будет одновременно удовлетворять потребности покупателей, производителей и продавцов.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Министерство предлагает развивать как торговые сети, так и несетевые магазины (в том числе и семейные). "Наличие достаточно большого количества малых торговых предприятий и их предпринимательские инициативы серьезно стимулируют развитие внутреннего производства, что является особенно важным в свете выполнения задач по импортозамещению на потребительском рынке России", - говорится в документе.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Комфортная потребительская среда – это когда в любом городе потребитель должен иметь возможность, исходя из своих доходов, купить все необходимое – еду, одежду, другие товары, которые предлагает современный рынок, а также воспользоваться услугами общественного питания. Помимо этого, человек должен в комфортной транспортной доступности иметь торговые объекты всех форматов. И наконец, на территории должны быть максимально представлены бренды – как товаров, так и торговых операторов. Совокупность этих трех элементов и есть комфортная городская среда.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Помимо стационарной торговли, разработчики проекта предлагают поддержать мобильные и сезонные форматы, а также розничные рынки и ярмарки.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Интернет-торговлю создатели стратегии называют одной из немногих площадок для стартапов в торговом и производственном бизнесе, в особенности "для субъектов малого и среднего предпринимательства (пекарен, фермеров, предприятий общественного питания и многих других)".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Предлагается также возрождать стрит-ритейл в российских городах (магазины и объекты общественного питания на первых этажах жилых домов в городах с витринами и отдельным входом с тротуара или пешеходной улицы) и продвигать вендинговые автоматы.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 xml:space="preserve">Автоматизированная торговля является классическим примером инфраструктуры комфорта. Ее доля в общем розничном торговом обороте очень мала, она не может и не должна рассматриваться с точки зрения снабжения населения пищевыми продуктами и иными товарами (услугами). </w:t>
      </w:r>
    </w:p>
    <w:p>
      <w:pPr>
        <w:pStyle w:val="12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Кроме того, впервые в стратегии представлена концепция оптовых продовольственных рынков.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/>
      </w:pPr>
      <w:r>
        <w:rPr>
          <w:rStyle w:val="Style14"/>
          <w:rFonts w:cs="Liberation Serif;Times New Roman" w:ascii="Liberation Serif;Times New Roman" w:hAnsi="Liberation Serif;Times New Roman"/>
          <w:color w:val="000000"/>
          <w:sz w:val="28"/>
          <w:szCs w:val="28"/>
        </w:rPr>
        <w:t>Предложенная стратегия направлена на создание дополнительных рыночных механизмов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, обеспечивающих рост и развитие электронной торговли в РФ, эффективное использование её ресурсов и потенциала, в том числе посредством: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снятия чрезмерных запретов и устранения правовых коллизий для электронной торговли, отсутствующих в традиционной торговле;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обеспечения эффективного нормативно-правового регулирования электронных сделок, совершенствования систем оплаты в области электронных сделок, обеспечения правовой защиты участников электронной торговли;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обеспечения сбалансированных условий ведения деятельности для российских и иностранных интернет-магазинов, реализующих товары напрямую физическим лицам в РФ;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повышения кибербезопасности в области электронной торговли на внутреннем рынке и в области трансграничной электронной торговли.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Согласно проекту к 2025 году предполагается достижение следующих показателей: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не менее 70 процентов розничных магазинов, использующих в продажах интернет-канал;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не менее 80 процентов населения старше 12 лет, использующего интернет для осуществления покупок;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увеличение до 10 процентов доли России на мировом рынке электронной торговли;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увеличение экспорта по каналам электронной торговли не менее чем на 5 процентов;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>- не менее 100 тыс. чел. - интернет-продавцов, занятых в сфере электронной торговли.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;Times New Roman" w:hAnsi="Liberation Serif;Times New Roman" w:cs="Liberation Serif;Times New Roman"/>
          <w:color w:val="000000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</w:rPr>
        <w:t xml:space="preserve">Основными задачами Стратегии прежде всего являются: 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sz w:val="28"/>
        </w:rPr>
      </w:pPr>
      <w:r>
        <w:rPr>
          <w:rFonts w:cs="times new roman;times" w:ascii="times new roman;times" w:hAnsi="times new roman;times"/>
          <w:sz w:val="28"/>
        </w:rPr>
        <w:t>1. развитие многоформатной торговли (торговые сети, малые форматы торговли, интернет-торговля и другие форматы);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sz w:val="28"/>
        </w:rPr>
      </w:pPr>
      <w:r>
        <w:rPr>
          <w:rFonts w:cs="times new roman;times" w:ascii="times new roman;times" w:hAnsi="times new roman;times"/>
          <w:sz w:val="28"/>
        </w:rPr>
        <w:t>2. развитие оптового продовольственного звена;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sz w:val="28"/>
        </w:rPr>
      </w:pPr>
      <w:r>
        <w:rPr>
          <w:rFonts w:cs="times new roman;times" w:ascii="times new roman;times" w:hAnsi="times new roman;times"/>
          <w:sz w:val="28"/>
        </w:rPr>
        <w:t>3. развитие стрит-ритейла в городах;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sz w:val="28"/>
        </w:rPr>
      </w:pPr>
      <w:r>
        <w:rPr>
          <w:rFonts w:cs="times new roman;times" w:ascii="times new roman;times" w:hAnsi="times new roman;times"/>
          <w:sz w:val="28"/>
        </w:rPr>
        <w:t xml:space="preserve">4. развитие саморегулирования в торговле, самоорганизации и кооперации; 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Fonts w:cs="times new roman;times" w:ascii="times new roman;times" w:hAnsi="times new roman;times"/>
          <w:sz w:val="28"/>
        </w:rPr>
        <w:t>5. дерегулирование в сфере торговли</w:t>
      </w:r>
      <w:r>
        <w:rPr>
          <w:rFonts w:cs="times new roman;times" w:ascii="times new roman;times" w:hAnsi="times new roman;times"/>
          <w:sz w:val="28"/>
          <w:szCs w:val="28"/>
        </w:rPr>
        <w:t xml:space="preserve"> (Д- </w:t>
      </w:r>
      <w:r>
        <w:rPr>
          <w:sz w:val="28"/>
          <w:szCs w:val="28"/>
        </w:rPr>
        <w:t>означает усиление роли частного предпринимательства в соотношении с ролью государственного хозяйствования)</w:t>
      </w:r>
      <w:r>
        <w:rPr>
          <w:rFonts w:cs="times new roman;times" w:ascii="times new roman;times" w:hAnsi="times new roman;times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sz w:val="28"/>
          <w:szCs w:val="28"/>
        </w:rPr>
      </w:pPr>
      <w:r>
        <w:rPr>
          <w:rFonts w:cs="times new roman;times" w:ascii="times new roman;times" w:hAnsi="times new roman;times"/>
          <w:sz w:val="28"/>
          <w:szCs w:val="28"/>
        </w:rPr>
        <w:t>6. улучшение имиджа торговой отрасли.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Fonts w:cs="times new roman;times" w:ascii="times new roman;times" w:hAnsi="times new roman;times"/>
          <w:sz w:val="28"/>
          <w:szCs w:val="28"/>
        </w:rPr>
        <w:t>Под развитием торговой отрасли в наст</w:t>
      </w:r>
      <w:r>
        <w:rPr>
          <w:rFonts w:cs="times new roman;times" w:ascii="times new roman;times" w:hAnsi="times new roman;times"/>
          <w:sz w:val="28"/>
        </w:rPr>
        <w:t xml:space="preserve">оящей Стратегии понимается </w:t>
      </w:r>
      <w:r>
        <w:rPr>
          <w:rFonts w:cs="times new roman;times" w:ascii="times new roman;times" w:hAnsi="times new roman;times"/>
          <w:b/>
          <w:bCs/>
          <w:sz w:val="28"/>
        </w:rPr>
        <w:t xml:space="preserve">создание равных возможностей </w:t>
      </w:r>
      <w:r>
        <w:rPr>
          <w:rFonts w:cs="times new roman;times" w:ascii="times new roman;times" w:hAnsi="times new roman;times"/>
          <w:sz w:val="28"/>
        </w:rPr>
        <w:t xml:space="preserve">для </w:t>
      </w:r>
      <w:r>
        <w:rPr>
          <w:rFonts w:cs="times new roman;times" w:ascii="times new roman;times" w:hAnsi="times new roman;times"/>
          <w:b/>
          <w:bCs/>
          <w:sz w:val="28"/>
        </w:rPr>
        <w:t xml:space="preserve">беспрепятственного открытия, расширения и ведения бизнеса </w:t>
      </w:r>
      <w:r>
        <w:rPr>
          <w:rFonts w:cs="times new roman;times" w:ascii="times new roman;times" w:hAnsi="times new roman;times"/>
          <w:sz w:val="28"/>
        </w:rPr>
        <w:t>субъектами торговой деятельности любых размеров (малых, средних, крупных) вне зависимости от выбранного хозяйствующим субъектом торгового формата, при стабильных условиях ведения бизнеса, всесторонней гарантии прав и минимизации административного воздействия.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sz w:val="28"/>
        </w:rPr>
      </w:pPr>
      <w:r>
        <w:rPr>
          <w:rFonts w:cs="times new roman;times" w:ascii="times new roman;times" w:hAnsi="times new roman;times"/>
          <w:sz w:val="28"/>
        </w:rPr>
        <w:t>Все форматы торговли, независимо от размера, признаются цивилизованными и имеют право на беспрепятственное развитие в рамках своей самобытности и уникальности, а также на естественную эволюцию без вмешательства государства вследствие роста предпринимательской активности, изменений предпочтений потребителей и стремления граждан к комфортной среде обитания.</w:t>
      </w:r>
    </w:p>
    <w:p>
      <w:pPr>
        <w:pStyle w:val="Style20"/>
        <w:shd w:val="clear" w:fill="FFFFFF"/>
        <w:bidi w:val="0"/>
        <w:spacing w:lineRule="auto" w:line="240" w:before="0" w:after="0"/>
        <w:ind w:left="0" w:right="0" w:firstLine="714"/>
        <w:jc w:val="both"/>
        <w:rPr/>
      </w:pPr>
      <w:r>
        <w:rPr>
          <w:rStyle w:val="Style14"/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</w:rPr>
        <w:t>П</w:t>
      </w:r>
      <w:r>
        <w:rPr>
          <w:rStyle w:val="Style14"/>
          <w:rFonts w:cs="Liberation Serif;Times New Roman" w:ascii="Liberation Serif;Times New Roman" w:hAnsi="Liberation Serif;Times New Roman"/>
          <w:b w:val="false"/>
          <w:bCs w:val="false"/>
          <w:color w:val="000000"/>
          <w:sz w:val="28"/>
          <w:szCs w:val="28"/>
          <w:u w:val="none"/>
        </w:rPr>
        <w:t>риложение:    Проект стратегии развития торговли в Российской Федерации до 2025 года.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14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Обсуждение поставленного  вопроса: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times new roman;times" w:hAnsi="times new roman;times" w:cs="times new roman;times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cs="times new roman;times" w:ascii="times new roman;times" w:hAnsi="times new roman;times"/>
          <w:b w:val="false"/>
          <w:bCs w:val="false"/>
          <w:color w:val="000000"/>
          <w:sz w:val="28"/>
          <w:szCs w:val="28"/>
          <w:u w:val="none"/>
        </w:rPr>
        <w:t xml:space="preserve">Важным является вопрос размещения нестационарных и мобильных торговых объектов, рынков, ярмарок – то есть торговой инфраструктуры (далее ТИ), размещение которой прямо регулируется органами исполнительной власти регионов и органами местного самоуправления. Эти торговые форматы должны располагаться в местах, максимально удобных покупателям с точки зрения хозяйствующих субъектов (далее - ХС), организующих на свой страх и риск указанные форматы торговли. 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Fonts w:cs="times new roman;times" w:ascii="times new roman;times" w:hAnsi="times new roman;times"/>
          <w:b w:val="false"/>
          <w:bCs w:val="false"/>
          <w:color w:val="000000"/>
          <w:sz w:val="28"/>
          <w:szCs w:val="28"/>
          <w:u w:val="none"/>
        </w:rPr>
        <w:t xml:space="preserve">Однако не стоит и забывать и про облик города. Если разместить ТИ только в тех точках города где хочется предпринимателю, однозначно будет много нарушений </w:t>
      </w:r>
      <w:r>
        <w:rPr>
          <w:rStyle w:val="Extendedtextfull"/>
          <w:rFonts w:cs="times new roman;times" w:ascii="times new roman;times" w:hAnsi="times new roman;times"/>
          <w:b w:val="false"/>
          <w:bCs w:val="false"/>
          <w:color w:val="000000"/>
          <w:sz w:val="28"/>
          <w:szCs w:val="28"/>
          <w:u w:val="none"/>
        </w:rPr>
        <w:t xml:space="preserve">градостроительных правил и норм, </w:t>
      </w:r>
      <w:r>
        <w:rPr>
          <w:rFonts w:cs="times new roman;times" w:ascii="times new roman;times" w:hAnsi="times new roman;times"/>
          <w:b w:val="false"/>
          <w:bCs w:val="false"/>
          <w:color w:val="000000"/>
          <w:sz w:val="28"/>
          <w:szCs w:val="28"/>
          <w:u w:val="none"/>
        </w:rPr>
        <w:t>и плюс к этому может присоединиться недовольство от населения. Так же надо учитывать и а</w:t>
      </w:r>
      <w:r>
        <w:rPr>
          <w:rStyle w:val="Extendedtextfull"/>
          <w:rFonts w:cs="times new roman;times" w:ascii="times new roman;times" w:hAnsi="times new roman;times"/>
          <w:b w:val="false"/>
          <w:bCs w:val="false"/>
          <w:color w:val="000000"/>
          <w:sz w:val="28"/>
          <w:szCs w:val="28"/>
          <w:u w:val="none"/>
        </w:rPr>
        <w:t xml:space="preserve">рхитектурно-художественное решение ТИ, оно  не должно противоречить существующей стилистике окружающей среды, архитектурному облику сложившейся городской застройки. 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Style w:val="Extendedtextfull"/>
          <w:rFonts w:cs="times new roman;times" w:ascii="times new roman;times" w:hAnsi="times new roman;times"/>
          <w:b w:val="false"/>
          <w:bCs w:val="false"/>
          <w:color w:val="000000"/>
          <w:sz w:val="28"/>
          <w:szCs w:val="28"/>
          <w:u w:val="none"/>
        </w:rPr>
        <w:t>Конструкции ТИ должны предусматривать возможность демонтажа с сохранением пригодности к дальнейшей эксплуатации. Размещение ТИ должно соответствовать градостроительным, архитектурным, пожарным, санитарным нормам, правилам и нормативам, вот именно здесь и есть загвоздка, желание у ХС есть, а вот соблюдение норм у ХС низкое, вот и получается замкнутый круг.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Fonts w:cs="times new roman;times" w:ascii="times new roman;times" w:hAnsi="times new roman;times"/>
          <w:b w:val="false"/>
          <w:bCs w:val="false"/>
          <w:sz w:val="28"/>
          <w:szCs w:val="28"/>
          <w:u w:val="none"/>
        </w:rPr>
        <w:t>На сегодняшний день распространенной практикой является размещение магазинов, кафе, объектов бытовых услуг на первых этажах многоквартирных жилых домов в квар</w:t>
      </w:r>
      <w:r>
        <w:rPr>
          <w:rFonts w:cs="times new roman;times" w:ascii="times new roman;times" w:hAnsi="times new roman;times"/>
          <w:sz w:val="28"/>
          <w:szCs w:val="28"/>
          <w:u w:val="none"/>
        </w:rPr>
        <w:t xml:space="preserve">тирах, переведенных в нежилые помещения. Конечно основная причина это  дефицит нежилых помещений для ведения бизнеса т.к. не каждый ХС имеет средства построить отдельно стоящее здание. В нашем городе размещение на первых этажах магазинов и объектов общественного питания имеет негативный характер, на постоянной основе идут жалобы от населения, от «соседей» первого и второго этажей, которые прилегают к такому объекту. Людям мешают посторонние запахи, шум и вибрация от производственной техники работающей внутри магазина, разгрузка товаров с нарушениями, покупатели которые шумят при выходе из магазина после  «часа тишины»  (с 10.00 час. до 9.00 час.) и т.д.  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Fonts w:cs="times new roman;times" w:ascii="times new roman;times" w:hAnsi="times new roman;times"/>
          <w:sz w:val="28"/>
          <w:szCs w:val="28"/>
          <w:u w:val="none"/>
        </w:rPr>
        <w:t xml:space="preserve">Использование квартир расположенных в многоквартирных жилых домах, переведенных в нежилой фонд для торговой деятельности и общественного питания считаем не приемлемым т.к. </w:t>
      </w:r>
      <w:r>
        <w:rPr>
          <w:sz w:val="28"/>
          <w:szCs w:val="28"/>
        </w:rPr>
        <w:t>ухудшаются условия проживания и отдыха людей в жилых зданиях.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Есть еще одна насущная проблема развития малого бизнеса - это торговые сети. Малым предприятиям становится все сложнее выживать в городах и получать прибыль в условиях конкуренции с торговыми сетями.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Торговые сети бурно развиваются и продолжают развитие теперь не только в крупных городах, но и в городах с населением менее 50,0 тыс. человек, а это значит, что у малого бизнеса будет оставаться все меньше шансов на какие-либо успехи на рынке. В связи с этим страдает малоформатная торговля и плюс к этому к «страданиям» присоединяются местные производители, именно в местных магазинах «шаговой доступности» идет основная реализация произведенной местной продукции.  Торговые сети имеют своих поставщиков и работают они на контрактной основе. Предлагаем такой выход: торговым сетям брать на реализацию продукцию местных производителей не менее 10% от объема всей продукции по соответствующим категориям (молоко, хлеб и т.д.).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cs="Times New Roman"/>
          <w:b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Решили:</w:t>
      </w:r>
    </w:p>
    <w:p>
      <w:pPr>
        <w:pStyle w:val="Normal"/>
        <w:widowControl/>
        <w:spacing w:lineRule="auto" w:line="240" w:before="0" w:after="0"/>
        <w:ind w:left="0" w:right="0" w:firstLine="714"/>
        <w:jc w:val="both"/>
        <w:rPr>
          <w:rFonts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1. Принять к сведению информацию.</w:t>
      </w:r>
    </w:p>
    <w:p>
      <w:pPr>
        <w:pStyle w:val="Normal"/>
        <w:widowControl/>
        <w:ind w:left="0" w:right="0" w:firstLine="71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ind w:left="0" w:right="0" w:firstLine="714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tbl>
      <w:tblPr>
        <w:tblW w:w="10215" w:type="dxa"/>
        <w:jc w:val="left"/>
        <w:tblInd w:w="-336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1761"/>
        <w:gridCol w:w="4532"/>
      </w:tblGrid>
      <w:tr>
        <w:trPr/>
        <w:tc>
          <w:tcPr>
            <w:tcW w:w="3922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1761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Петровская Наталья Александровна</w:t>
            </w:r>
          </w:p>
        </w:tc>
      </w:tr>
      <w:tr>
        <w:trPr/>
        <w:tc>
          <w:tcPr>
            <w:tcW w:w="3922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1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922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1761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32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Киселева Анна Викторовна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5" w:leader="none"/>
        </w:tabs>
        <w:rPr/>
      </w:pPr>
      <w:r>
        <w:rPr/>
      </w:r>
    </w:p>
    <w:sectPr>
      <w:type w:val="nextPage"/>
      <w:pgSz w:w="11906" w:h="16838"/>
      <w:pgMar w:left="1292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21"/>
    <w:next w:val="Style22"/>
    <w:qFormat/>
    <w:pPr>
      <w:numPr>
        <w:ilvl w:val="0"/>
        <w:numId w:val="1"/>
      </w:numPr>
      <w:shd w:val="clear" w:fill="FFFFFF"/>
      <w:spacing w:before="240" w:after="120"/>
      <w:outlineLvl w:val="0"/>
    </w:pPr>
    <w:rPr>
      <w:rFonts w:ascii="Liberation Serif;Times New Roman" w:hAnsi="Liberation Serif;Times New Roman" w:eastAsia="Noto Serif CJK SC" w:cs="Lohit Devanagari"/>
      <w:b/>
      <w:bCs/>
      <w:sz w:val="48"/>
      <w:szCs w:val="48"/>
    </w:rPr>
  </w:style>
  <w:style w:type="paragraph" w:styleId="2">
    <w:name w:val="Heading 2"/>
    <w:basedOn w:val="Style21"/>
    <w:next w:val="Style22"/>
    <w:qFormat/>
    <w:pPr>
      <w:numPr>
        <w:ilvl w:val="1"/>
        <w:numId w:val="1"/>
      </w:numPr>
      <w:shd w:val="clear" w:fill="FFFFFF"/>
      <w:spacing w:before="200" w:after="120"/>
      <w:outlineLvl w:val="1"/>
    </w:pPr>
    <w:rPr>
      <w:rFonts w:ascii="Liberation Serif;Times New Roman" w:hAnsi="Liberation Serif;Times New Roman" w:eastAsia="Noto Serif CJK SC" w:cs="Lohit Devanagari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b w:val="fals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>
      <w:rFonts w:ascii="Times New Roman" w:hAnsi="Times New Roman" w:eastAsia="Times New Roman" w:cs="Times New Roman"/>
    </w:rPr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eastAsia="Times New Roman" w:cs="Times New Roman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3z1">
    <w:name w:val="WW8Num23z1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color w:val="000000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Style12">
    <w:name w:val="Основной шрифт абзаца"/>
    <w:qFormat/>
    <w:rPr/>
  </w:style>
  <w:style w:type="character" w:styleId="Style13">
    <w:name w:val="Номер страницы"/>
    <w:basedOn w:val="Style12"/>
    <w:rPr/>
  </w:style>
  <w:style w:type="character" w:styleId="Style14">
    <w:name w:val="Выделение жирным"/>
    <w:qFormat/>
    <w:rPr>
      <w:b/>
      <w:bCs/>
    </w:rPr>
  </w:style>
  <w:style w:type="character" w:styleId="ConsPlusNormal">
    <w:name w:val="ConsPlusNormal Знак"/>
    <w:qFormat/>
    <w:rPr>
      <w:rFonts w:ascii="Arial" w:hAnsi="Arial" w:cs="Arial"/>
      <w:lang w:val="ru-RU" w:bidi="ar-SA"/>
    </w:rPr>
  </w:style>
  <w:style w:type="character" w:styleId="Bodytext">
    <w:name w:val="Body text_"/>
    <w:basedOn w:val="Style12"/>
    <w:qFormat/>
    <w:rPr>
      <w:spacing w:val="1"/>
      <w:sz w:val="24"/>
      <w:szCs w:val="24"/>
      <w:shd w:fill="FFFFFF" w:val="clear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ntStyle14">
    <w:name w:val="Font Style14"/>
    <w:qFormat/>
    <w:rPr>
      <w:rFonts w:ascii="Times New Roman" w:hAnsi="Times New Roman" w:cs="Times New Roman"/>
      <w:b/>
      <w:bCs/>
      <w:sz w:val="26"/>
      <w:szCs w:val="26"/>
    </w:rPr>
  </w:style>
  <w:style w:type="character" w:styleId="Extendedtextfull">
    <w:name w:val="extended-text__full"/>
    <w:basedOn w:val="Style12"/>
    <w:qFormat/>
    <w:rPr/>
  </w:style>
  <w:style w:type="paragraph" w:styleId="Style16">
    <w:name w:val="Заголовок"/>
    <w:basedOn w:val="Normal"/>
    <w:next w:val="CharChar1CharChar1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Style17">
    <w:name w:val="Body Text"/>
    <w:basedOn w:val="Normal"/>
    <w:next w:val="CharChar1CharChar1"/>
    <w:pPr>
      <w:widowControl w:val="false"/>
      <w:shd w:val="clear" w:fill="FFFFFF"/>
      <w:spacing w:lineRule="exact" w:line="278"/>
      <w:ind w:left="0" w:right="96" w:hanging="0"/>
    </w:pPr>
    <w:rPr>
      <w:sz w:val="28"/>
      <w:szCs w:val="20"/>
    </w:rPr>
  </w:style>
  <w:style w:type="paragraph" w:styleId="Style18">
    <w:name w:val="List"/>
    <w:next w:val="Style23"/>
    <w:pPr>
      <w:widowControl w:val="false"/>
      <w:shd w:val="clear" w:fill="FFFFFF"/>
      <w:suppressAutoHyphens w:val="true"/>
      <w:bidi w:val="0"/>
      <w:jc w:val="left"/>
    </w:pPr>
    <w:rPr>
      <w:rFonts w:ascii="Liberation Serif;Times New Roman" w:hAnsi="Liberation Serif;Times New Roman" w:eastAsia="Noto Serif CJK SC" w:cs="Liberation Serif;Times New Roman"/>
      <w:color w:val="auto"/>
      <w:kern w:val="0"/>
      <w:sz w:val="24"/>
      <w:szCs w:val="24"/>
      <w:lang w:val="ru-RU" w:eastAsia="zh-CN" w:bidi="hi-IN"/>
    </w:rPr>
  </w:style>
  <w:style w:type="paragraph" w:styleId="Style19">
    <w:name w:val="Caption"/>
    <w:basedOn w:val="Normal"/>
    <w:next w:val="1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next w:val="ConsPlusNonformat"/>
    <w:qFormat/>
    <w:pPr>
      <w:suppressLineNumbers/>
    </w:pPr>
    <w:rPr>
      <w:rFonts w:cs="Lohit Devanagari"/>
    </w:rPr>
  </w:style>
  <w:style w:type="paragraph" w:styleId="Style21">
    <w:name w:val="Текст выноски"/>
    <w:basedOn w:val="Normal"/>
    <w:next w:val="Consplusnormal1"/>
    <w:qFormat/>
    <w:pPr/>
    <w:rPr>
      <w:rFonts w:ascii="Tahoma" w:hAnsi="Tahoma" w:cs="Tahoma"/>
      <w:sz w:val="16"/>
      <w:szCs w:val="16"/>
    </w:rPr>
  </w:style>
  <w:style w:type="paragraph" w:styleId="Style22">
    <w:name w:val="Знак"/>
    <w:basedOn w:val="Normal"/>
    <w:next w:val="Constitle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CharChar1CharChar1">
    <w:name w:val=" Char Char1 Знак Знак Char Char1"/>
    <w:basedOn w:val="Normal"/>
    <w:next w:val="Style24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3">
    <w:name w:val="Обычный (веб)"/>
    <w:basedOn w:val="Normal"/>
    <w:next w:val="ConsPlusTitle"/>
    <w:qFormat/>
    <w:pPr>
      <w:spacing w:before="280" w:after="280"/>
    </w:pPr>
    <w:rPr>
      <w:rFonts w:ascii="Arial" w:hAnsi="Arial" w:cs="Arial"/>
    </w:rPr>
  </w:style>
  <w:style w:type="paragraph" w:styleId="11">
    <w:name w:val=" Знак1 Знак Знак Знак Знак Знак Знак Знак Знак Знак"/>
    <w:basedOn w:val="Normal"/>
    <w:next w:val="ConsPlusNormal2"/>
    <w:qFormat/>
    <w:pPr>
      <w:widowControl w:val="false"/>
      <w:spacing w:lineRule="atLeast" w:line="360"/>
      <w:jc w:val="both"/>
      <w:textAlignment w:val="baseline"/>
    </w:pPr>
    <w:rPr>
      <w:rFonts w:ascii="Verdana" w:hAnsi="Verdana" w:cs="Verdana"/>
      <w:sz w:val="20"/>
      <w:szCs w:val="20"/>
      <w:lang w:val="en-US"/>
    </w:rPr>
  </w:style>
  <w:style w:type="paragraph" w:styleId="ConsPlusNonformat">
    <w:name w:val="ConsPlusNonformat"/>
    <w:next w:val="12"/>
    <w:qFormat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normal1">
    <w:name w:val="consplusnormal"/>
    <w:basedOn w:val="Normal"/>
    <w:next w:val="Style25"/>
    <w:qFormat/>
    <w:pPr>
      <w:spacing w:before="280" w:after="280"/>
    </w:pPr>
    <w:rPr/>
  </w:style>
  <w:style w:type="paragraph" w:styleId="Constitle">
    <w:name w:val="constitle"/>
    <w:basedOn w:val="Normal"/>
    <w:next w:val="Style26"/>
    <w:qFormat/>
    <w:pPr>
      <w:spacing w:before="280" w:after="280"/>
    </w:pPr>
    <w:rPr/>
  </w:style>
  <w:style w:type="paragraph" w:styleId="Style24">
    <w:name w:val="Абзац списка"/>
    <w:basedOn w:val="Normal"/>
    <w:next w:val="13"/>
    <w:qFormat/>
    <w:pPr>
      <w:spacing w:lineRule="auto" w:line="276" w:before="0" w:after="200"/>
      <w:ind w:left="720" w:right="0" w:hanging="0"/>
      <w:contextualSpacing/>
    </w:pPr>
    <w:rPr>
      <w:rFonts w:ascii="Calibri" w:hAnsi="Calibri" w:cs="Calibri"/>
      <w:sz w:val="22"/>
      <w:szCs w:val="22"/>
    </w:rPr>
  </w:style>
  <w:style w:type="paragraph" w:styleId="ConsPlusTitle">
    <w:name w:val="ConsPlusTit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nsPlusNormal2">
    <w:name w:val="ConsPlu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12">
    <w:name w:val="Основной текст1"/>
    <w:basedOn w:val="Normal"/>
    <w:qFormat/>
    <w:pPr>
      <w:shd w:val="clear" w:fill="FFFFFF"/>
      <w:spacing w:lineRule="auto" w:line="240"/>
    </w:pPr>
    <w:rPr>
      <w:spacing w:val="1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qFormat/>
    <w:pPr>
      <w:widowControl w:val="false"/>
      <w:suppressLineNumbers/>
      <w:suppressAutoHyphens w:val="true"/>
      <w:bidi w:val="0"/>
      <w:jc w:val="center"/>
    </w:pPr>
    <w:rPr>
      <w:rFonts w:ascii="Liberation Serif;Times New Roman" w:hAnsi="Liberation Serif;Times New Roman" w:eastAsia="Noto Serif CJK SC" w:cs="Lohit Devanagari"/>
      <w:b/>
      <w:bCs/>
      <w:color w:val="auto"/>
      <w:kern w:val="0"/>
      <w:sz w:val="24"/>
      <w:szCs w:val="24"/>
      <w:lang w:val="ru-RU" w:eastAsia="zh-CN" w:bidi="hi-IN"/>
    </w:rPr>
  </w:style>
  <w:style w:type="paragraph" w:styleId="13">
    <w:name w:val="Абзац списка1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2652</TotalTime>
  <Application>LibreOffice/6.3.3.2$Linux_X86_64 LibreOffice_project/30$Build-2</Application>
  <Pages>5</Pages>
  <Words>1228</Words>
  <Characters>8687</Characters>
  <CharactersWithSpaces>9926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2018-08-21T16:20:00Z</dcterms:created>
  <dc:creator>user</dc:creator>
  <dc:description/>
  <dc:language>ru-RU</dc:language>
  <cp:lastModifiedBy/>
  <cp:lastPrinted>1995-11-21T17:41:00Z</cp:lastPrinted>
  <dcterms:modified xsi:type="dcterms:W3CDTF">2019-11-21T10:51:57Z</dcterms:modified>
  <cp:revision>242</cp:revision>
  <dc:subject/>
  <dc:title>ДИНАМИКА РОСТА ЦЕН НА ГСМ ПО 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293933002</vt:i4>
  </property>
</Properties>
</file>