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46495" cy="44246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u w:val="none"/>
        </w:rPr>
        <w:t xml:space="preserve">Памятка о легализации трудовых отношений и </w:t>
      </w:r>
      <w:hyperlink r:id="rId3">
        <w:r>
          <w:rPr>
            <w:rStyle w:val="Style12"/>
            <w:color w:val="000000"/>
            <w:u w:val="none"/>
          </w:rPr>
          <w:t>заработной платы</w:t>
        </w:r>
      </w:hyperlink>
    </w:p>
    <w:p>
      <w:pPr>
        <w:pStyle w:val="Style16"/>
        <w:jc w:val="center"/>
        <w:rPr>
          <w:color w:val="000000"/>
        </w:rPr>
      </w:pPr>
      <w:r>
        <w:rPr>
          <w:color w:val="000000"/>
        </w:rPr>
      </w:r>
    </w:p>
    <w:p>
      <w:pPr>
        <w:pStyle w:val="Style16"/>
        <w:jc w:val="both"/>
        <w:rPr/>
      </w:pPr>
      <w:r>
        <w:rPr>
          <w:color w:val="000000"/>
        </w:rPr>
        <w:t xml:space="preserve"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</w:t>
      </w:r>
      <w:hyperlink r:id="rId4">
        <w:r>
          <w:rPr>
            <w:rStyle w:val="Style12"/>
            <w:color w:val="000000"/>
          </w:rPr>
          <w:t>правовыми актами</w:t>
        </w:r>
      </w:hyperlink>
      <w:r>
        <w:rPr>
          <w:color w:val="000000"/>
        </w:rPr>
        <w:t xml:space="preserve">, содержащими нормы </w:t>
      </w:r>
      <w:hyperlink r:id="rId5">
        <w:r>
          <w:rPr>
            <w:rStyle w:val="Style12"/>
            <w:color w:val="000000"/>
          </w:rPr>
          <w:t>трудового права</w:t>
        </w:r>
      </w:hyperlink>
      <w:r>
        <w:rPr>
          <w:color w:val="000000"/>
        </w:rPr>
        <w:t xml:space="preserve">, </w:t>
      </w:r>
      <w:hyperlink r:id="rId6">
        <w:r>
          <w:rPr>
            <w:rStyle w:val="Style12"/>
            <w:color w:val="000000"/>
          </w:rPr>
          <w:t>коллективным договором</w:t>
        </w:r>
      </w:hyperlink>
      <w:r>
        <w:rPr>
          <w:color w:val="000000"/>
        </w:rPr>
        <w:t xml:space="preserve">, соглашениями, локальными </w:t>
      </w:r>
      <w:hyperlink r:id="rId7">
        <w:r>
          <w:rPr>
            <w:rStyle w:val="Style12"/>
            <w:color w:val="000000"/>
          </w:rPr>
          <w:t>нормативными актами</w:t>
        </w:r>
      </w:hyperlink>
      <w:r>
        <w:rPr>
          <w:color w:val="000000"/>
        </w:rPr>
        <w:t xml:space="preserve">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 Трудовой договор заключается в письменной форме, составляется в двух экземплярах, каждый из которых подписывается сторонами. Один экземпляр </w:t>
      </w:r>
      <w:hyperlink r:id="rId8">
        <w:r>
          <w:rPr>
            <w:rStyle w:val="Style12"/>
            <w:color w:val="000000"/>
          </w:rPr>
          <w:t>трудового договора</w:t>
        </w:r>
      </w:hyperlink>
      <w:r>
        <w:rPr>
          <w:color w:val="000000"/>
        </w:rPr>
        <w:t xml:space="preserve"> передается работнику, другой хранится у работодателя. Получение работником экземпляра </w:t>
      </w:r>
      <w:hyperlink r:id="rId9">
        <w:r>
          <w:rPr>
            <w:rStyle w:val="Style12"/>
            <w:color w:val="000000"/>
          </w:rPr>
          <w:t>трудового договора</w:t>
        </w:r>
      </w:hyperlink>
      <w:r>
        <w:rPr>
          <w:color w:val="000000"/>
        </w:rPr>
        <w:t xml:space="preserve"> должно подтверждаться подписью работника на экземпляре трудового договора, хранящемся у работодателя (ст. 56, 67 Трудового кодекса Российской Федерации).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Отсутствие трудового договора: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  <w:color w:val="000000"/>
        </w:rPr>
        <w:t>Лишает работника права на: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трудовой стаж (страховой стаж) для расчета и назначения трудовой пенсии по старости;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рабочее место, соответствующее государственным нормативным требованиям охраны труда:</w:t>
      </w:r>
    </w:p>
    <w:p>
      <w:pPr>
        <w:pStyle w:val="Style16"/>
        <w:jc w:val="both"/>
        <w:rPr/>
      </w:pPr>
      <w:r>
        <w:rPr>
          <w:color w:val="000000"/>
        </w:rPr>
        <w:t xml:space="preserve">отдых, обеспечиваемый установлением нормальной продолжительности </w:t>
      </w:r>
      <w:hyperlink r:id="rId10">
        <w:r>
          <w:rPr>
            <w:rStyle w:val="Style12"/>
            <w:color w:val="000000"/>
          </w:rPr>
          <w:t>рабочего времени</w:t>
        </w:r>
      </w:hyperlink>
      <w:r>
        <w:rPr>
          <w:color w:val="000000"/>
        </w:rPr>
        <w:t>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законами: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обязательное социальное страхование в случаях, предусмотренных федеральными законами.</w:t>
      </w:r>
    </w:p>
    <w:p>
      <w:pPr>
        <w:pStyle w:val="Style16"/>
        <w:jc w:val="both"/>
        <w:rPr/>
      </w:pPr>
      <w:r>
        <w:rPr>
          <w:b/>
          <w:bCs/>
          <w:color w:val="000000"/>
        </w:rPr>
        <w:t xml:space="preserve">Для работодателя </w:t>
      </w:r>
      <w:r>
        <w:rPr>
          <w:color w:val="000000"/>
        </w:rPr>
        <w:t xml:space="preserve">– это нарушение трудового и налогового законодательства, которое влечет за собой административную, а в отдельных случаях и </w:t>
      </w:r>
      <w:hyperlink r:id="rId11">
        <w:r>
          <w:rPr>
            <w:rStyle w:val="Style12"/>
            <w:color w:val="000000"/>
          </w:rPr>
          <w:t>уголовную ответственность</w:t>
        </w:r>
      </w:hyperlink>
      <w:r>
        <w:rPr>
          <w:color w:val="000000"/>
        </w:rPr>
        <w:t>.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Выплата части заработной платы «в конверте» («серые схемы»):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  <w:color w:val="000000"/>
        </w:rPr>
        <w:t>Обращаем внимание работодателей, выплачивающих «серую» зарплату, что своими действиями Вы нарушаете: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а) трудовое законодательство, так как в трудовых договорах и приказах содержится заведомо ложная информация;</w:t>
      </w:r>
    </w:p>
    <w:p>
      <w:pPr>
        <w:pStyle w:val="Style16"/>
        <w:jc w:val="both"/>
        <w:rPr/>
      </w:pPr>
      <w:r>
        <w:rPr>
          <w:color w:val="000000"/>
        </w:rPr>
        <w:t xml:space="preserve">б) налоговое законодательство, так как, выплачивая «серую» заработную плату, Вы умышленно занижаете налоговую базу по налогу на доходы физических лиц, страховые </w:t>
      </w:r>
      <w:hyperlink r:id="rId12">
        <w:r>
          <w:rPr>
            <w:rStyle w:val="Style12"/>
            <w:color w:val="000000"/>
          </w:rPr>
          <w:t>взносы</w:t>
        </w:r>
      </w:hyperlink>
      <w:r>
        <w:rPr>
          <w:color w:val="000000"/>
        </w:rPr>
        <w:t xml:space="preserve"> во внебюджетные фонды.</w:t>
      </w:r>
    </w:p>
    <w:p>
      <w:pPr>
        <w:pStyle w:val="Style16"/>
        <w:jc w:val="both"/>
        <w:rPr>
          <w:b/>
          <w:b/>
          <w:bCs/>
        </w:rPr>
      </w:pPr>
      <w:r>
        <w:rPr>
          <w:b/>
          <w:bCs/>
          <w:color w:val="000000"/>
        </w:rPr>
        <w:t>Ответственность:</w:t>
      </w:r>
    </w:p>
    <w:p>
      <w:pPr>
        <w:pStyle w:val="Style16"/>
        <w:jc w:val="both"/>
        <w:rPr/>
      </w:pPr>
      <w:r>
        <w:rPr>
          <w:color w:val="000000"/>
        </w:rPr>
        <w:t xml:space="preserve">В соответствии с частью 1 статьи 5.27. Кодекса об </w:t>
      </w:r>
      <w:hyperlink r:id="rId13">
        <w:r>
          <w:rPr>
            <w:rStyle w:val="Style12"/>
            <w:color w:val="000000"/>
          </w:rPr>
          <w:t>административных правонарушениях</w:t>
        </w:r>
      </w:hyperlink>
      <w:r>
        <w:rPr>
          <w:color w:val="000000"/>
        </w:rPr>
        <w:t xml:space="preserve"> РФ нарушение трудового законодательства влечет предупреждение или наложение </w:t>
      </w:r>
      <w:hyperlink r:id="rId14">
        <w:r>
          <w:rPr>
            <w:rStyle w:val="Style12"/>
            <w:color w:val="000000"/>
          </w:rPr>
          <w:t>административного штрафа</w:t>
        </w:r>
      </w:hyperlink>
      <w:r>
        <w:rPr>
          <w:color w:val="000000"/>
        </w:rPr>
        <w:t>: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на должностных лиц в размере от одной тысячи до пяти тысяч рублей;</w:t>
      </w:r>
    </w:p>
    <w:p>
      <w:pPr>
        <w:pStyle w:val="Style16"/>
        <w:jc w:val="both"/>
        <w:rPr/>
      </w:pPr>
      <w:r>
        <w:rPr>
          <w:color w:val="000000"/>
        </w:rPr>
        <w:t xml:space="preserve">на лиц, осуществляющих </w:t>
      </w:r>
      <w:hyperlink r:id="rId15">
        <w:r>
          <w:rPr>
            <w:rStyle w:val="Style12"/>
            <w:color w:val="000000"/>
          </w:rPr>
          <w:t>предпринимательскую деятельность</w:t>
        </w:r>
      </w:hyperlink>
      <w:r>
        <w:rPr>
          <w:color w:val="000000"/>
        </w:rPr>
        <w:t xml:space="preserve"> без образования юридического лица, от одной тысячи до пяти тысяч рублей;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на юридических лиц от тридцати тысяч до пятидесяти тысяч рублей.</w:t>
      </w:r>
    </w:p>
    <w:p>
      <w:pPr>
        <w:pStyle w:val="Style16"/>
        <w:jc w:val="both"/>
        <w:rPr/>
      </w:pPr>
      <w:r>
        <w:rPr>
          <w:color w:val="000000"/>
        </w:rPr>
        <w:t xml:space="preserve">Совершение </w:t>
      </w:r>
      <w:hyperlink r:id="rId16">
        <w:r>
          <w:rPr>
            <w:rStyle w:val="Style12"/>
            <w:color w:val="000000"/>
          </w:rPr>
          <w:t>административного правонарушения</w:t>
        </w:r>
      </w:hyperlink>
      <w:r>
        <w:rPr>
          <w:color w:val="000000"/>
        </w:rPr>
        <w:t xml:space="preserve">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на должностных лиц в размере от десяти тысяч до двадцати тысяч рублей или дисквалификацию на срок от одного года до трех лет;</w:t>
      </w:r>
    </w:p>
    <w:p>
      <w:pPr>
        <w:pStyle w:val="Style16"/>
        <w:jc w:val="both"/>
        <w:rPr/>
      </w:pPr>
      <w:r>
        <w:rPr>
          <w:color w:val="000000"/>
        </w:rPr>
        <w:t xml:space="preserve">на лиц, осуществляющих </w:t>
      </w:r>
      <w:hyperlink r:id="rId17">
        <w:r>
          <w:rPr>
            <w:rStyle w:val="Style12"/>
            <w:color w:val="000000"/>
          </w:rPr>
          <w:t>предпринимательскую деятельность</w:t>
        </w:r>
      </w:hyperlink>
      <w:r>
        <w:rPr>
          <w:color w:val="000000"/>
        </w:rPr>
        <w:t xml:space="preserve"> без образования юридического лица, от десяти тысяч до двадцати тысяч рублей;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на юридических лиц от пятидесяти тысяч до семидесяти тысяч рублей.</w:t>
      </w:r>
    </w:p>
    <w:p>
      <w:pPr>
        <w:pStyle w:val="Style16"/>
        <w:jc w:val="both"/>
        <w:rPr/>
      </w:pPr>
      <w:r>
        <w:rPr>
          <w:color w:val="000000"/>
        </w:rPr>
        <w:t xml:space="preserve">Руководитель организации и </w:t>
      </w:r>
      <w:hyperlink r:id="rId18">
        <w:r>
          <w:rPr>
            <w:rStyle w:val="Style12"/>
            <w:color w:val="000000"/>
          </w:rPr>
          <w:t>главный бухгалтер</w:t>
        </w:r>
      </w:hyperlink>
      <w:r>
        <w:rPr>
          <w:color w:val="000000"/>
        </w:rPr>
        <w:t>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Уход от налогов «в крупном размере» (сумма налогов и (или) сборов за период в пределах трех финансовых лет подряд более двух миллионов рублей, при условии, что доля не 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в размере от ста тысяч до трехсот тысяч рублей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или в размере заработной платы или иного дохода осужденного за период от одного года до двух лет;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либо арестом на срок до шести месяцев;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Обращаем внимание работников, если Вы получаете «серую» зарплату, то Вы должны знать, что: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а) вступая в сговор с работодателем о выплате части заработной платы «в конверте», Вы даете свое согласие на «уход» работодателя от уплаты налога на доходы физических лиц и страховых взносов во внебюджетные фонды в полном объеме, тем самым снижаете возможности финансирования из бюджетов всех уровней сфер образования, здравоохранения, иных социальных обязательств и проектов государства;</w:t>
      </w:r>
    </w:p>
    <w:p>
      <w:pPr>
        <w:pStyle w:val="Style16"/>
        <w:jc w:val="both"/>
        <w:rPr/>
      </w:pPr>
      <w:r>
        <w:rPr>
          <w:color w:val="000000"/>
        </w:rPr>
        <w:t xml:space="preserve">б) Вы лишаетесь возможности: оплаты больничных листов, </w:t>
      </w:r>
      <w:hyperlink r:id="rId19">
        <w:r>
          <w:rPr>
            <w:rStyle w:val="Style12"/>
            <w:color w:val="000000"/>
          </w:rPr>
          <w:t>выходного пособия</w:t>
        </w:r>
      </w:hyperlink>
      <w:r>
        <w:rPr>
          <w:color w:val="000000"/>
        </w:rPr>
        <w:t xml:space="preserve"> при увольнении по сокращению штата, сохраняемого среднего заработка, пособия по </w:t>
      </w:r>
      <w:hyperlink r:id="rId20">
        <w:r>
          <w:rPr>
            <w:rStyle w:val="Style12"/>
            <w:color w:val="000000"/>
          </w:rPr>
          <w:t>безработице</w:t>
        </w:r>
      </w:hyperlink>
      <w:r>
        <w:rPr>
          <w:color w:val="000000"/>
        </w:rPr>
        <w:t>, исчисленных исходя из фактического уровня Вашей заработной платы;</w:t>
      </w:r>
    </w:p>
    <w:p>
      <w:pPr>
        <w:pStyle w:val="Style16"/>
        <w:jc w:val="both"/>
        <w:rPr/>
      </w:pPr>
      <w:r>
        <w:rPr>
          <w:color w:val="000000"/>
        </w:rPr>
        <w:t xml:space="preserve">в) размер социального или имущественного </w:t>
      </w:r>
      <w:hyperlink r:id="rId21">
        <w:r>
          <w:rPr>
            <w:rStyle w:val="Style12"/>
            <w:color w:val="000000"/>
          </w:rPr>
          <w:t>налогового вычета</w:t>
        </w:r>
      </w:hyperlink>
      <w:r>
        <w:rPr>
          <w:color w:val="000000"/>
        </w:rPr>
        <w:t xml:space="preserve"> будет определяться исходя из размера заработной платы, отраженной в </w:t>
      </w:r>
      <w:hyperlink r:id="rId22">
        <w:r>
          <w:rPr>
            <w:rStyle w:val="Style12"/>
            <w:color w:val="000000"/>
          </w:rPr>
          <w:t>бухгалтерском учете</w:t>
        </w:r>
      </w:hyperlink>
      <w:r>
        <w:rPr>
          <w:color w:val="000000"/>
        </w:rPr>
        <w:t>, то есть заведомо заниженный;</w:t>
      </w:r>
    </w:p>
    <w:p>
      <w:pPr>
        <w:pStyle w:val="Style16"/>
        <w:jc w:val="both"/>
        <w:rPr/>
      </w:pPr>
      <w:r>
        <w:rPr>
          <w:color w:val="000000"/>
        </w:rPr>
        <w:t xml:space="preserve">г) Вы не сможете воспользоваться </w:t>
      </w:r>
      <w:hyperlink r:id="rId23">
        <w:r>
          <w:rPr>
            <w:rStyle w:val="Style12"/>
            <w:color w:val="000000"/>
          </w:rPr>
          <w:t>банковскими кредитами</w:t>
        </w:r>
      </w:hyperlink>
      <w:r>
        <w:rPr>
          <w:color w:val="000000"/>
        </w:rPr>
        <w:t>, в том числе на приобретение жилья;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д) Вы не сможете рассчитывать на обеспечение в старости в виде достойной пенсии;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е) в случае предоставления Вам различного вида мер социальной поддержки и оказания Вам и Вашей семье социальной помощи (выплаты пособий и субсидий) на основании выданных Вам работодателями справок, содержащих заведомо недостоверные сведения о Ваших доходах, Ваши действия могут быть квалифицированы как мошенничество в соответствии с частью 1 статьи 159.2 Уголовного кодекса РФ.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ВЫ ДОЛЖНЫ: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ЕСЛИ РАБОТОДАТЕЛЬ НЕ РЕАГИРУЕТ НА ВАШИ ТРЕБОВАНИЯ,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ВЫ МОЖЕТЕ ОБРАТИТЬСЯ:</w:t>
      </w:r>
    </w:p>
    <w:p>
      <w:pPr>
        <w:pStyle w:val="Style16"/>
        <w:jc w:val="both"/>
        <w:rPr/>
      </w:pPr>
      <w:r>
        <w:rPr>
          <w:color w:val="000000"/>
        </w:rPr>
        <w:t xml:space="preserve">в Государственную </w:t>
      </w:r>
      <w:hyperlink r:id="rId24">
        <w:r>
          <w:rPr>
            <w:rStyle w:val="Style12"/>
            <w:color w:val="000000"/>
          </w:rPr>
          <w:t>инспекцию труда</w:t>
        </w:r>
      </w:hyperlink>
      <w:r>
        <w:rPr>
          <w:color w:val="000000"/>
        </w:rPr>
        <w:t xml:space="preserve"> в Красноярском крае, телефон «горячей линии» </w:t>
      </w:r>
      <w:r>
        <w:rPr>
          <w:b/>
          <w:bCs/>
          <w:color w:val="000000"/>
        </w:rPr>
        <w:t>8(391) 22-88-681;</w:t>
      </w:r>
    </w:p>
    <w:p>
      <w:pPr>
        <w:pStyle w:val="Style1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в прокуратуру по месту нахождения работодателя (адрес: г. Шарыпово, ул. Горького, 17,</w:t>
        <w:br/>
        <w:t xml:space="preserve"> телефон </w:t>
      </w:r>
      <w:r>
        <w:rPr>
          <w:b/>
          <w:bCs/>
          <w:color w:val="000000"/>
        </w:rPr>
        <w:t>8 (39153) 2-19-51</w:t>
      </w:r>
      <w:r>
        <w:rPr>
          <w:color w:val="000000"/>
        </w:rPr>
        <w:t>;</w:t>
      </w:r>
    </w:p>
    <w:p>
      <w:pPr>
        <w:pStyle w:val="Style16"/>
        <w:jc w:val="both"/>
        <w:rPr/>
      </w:pPr>
      <w:r>
        <w:rPr>
          <w:color w:val="000000"/>
        </w:rPr>
        <w:t xml:space="preserve">в суд за </w:t>
      </w:r>
      <w:hyperlink r:id="rId25">
        <w:r>
          <w:rPr>
            <w:rStyle w:val="Style12"/>
            <w:color w:val="000000"/>
          </w:rPr>
          <w:t>взысканием</w:t>
        </w:r>
      </w:hyperlink>
      <w:r>
        <w:rPr>
          <w:color w:val="000000"/>
        </w:rPr>
        <w:t xml:space="preserve"> причитающихся сумм в порядке индивидуального трудового спора.</w:t>
      </w:r>
    </w:p>
    <w:p>
      <w:pPr>
        <w:pStyle w:val="Normal"/>
        <w:spacing w:lineRule="auto" w:line="276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 xml:space="preserve">В настоящее время </w:t>
      </w:r>
      <w:r>
        <w:rPr>
          <w:b/>
          <w:color w:val="000000"/>
        </w:rPr>
        <w:t>легализация</w:t>
      </w:r>
      <w:r>
        <w:rPr>
          <w:color w:val="000000"/>
        </w:rPr>
        <w:t xml:space="preserve"> теневой занятости и скрытых форм </w:t>
      </w:r>
      <w:r>
        <w:rPr>
          <w:b/>
          <w:color w:val="000000"/>
        </w:rPr>
        <w:t>оплаты</w:t>
      </w:r>
      <w:r>
        <w:rPr>
          <w:color w:val="000000"/>
        </w:rPr>
        <w:t xml:space="preserve"> </w:t>
      </w:r>
      <w:r>
        <w:rPr>
          <w:b/>
          <w:color w:val="000000"/>
        </w:rPr>
        <w:t>труда</w:t>
      </w:r>
      <w:r>
        <w:rPr>
          <w:color w:val="000000"/>
        </w:rPr>
        <w:t xml:space="preserve">, повышение уровня </w:t>
      </w:r>
      <w:r>
        <w:rPr>
          <w:b/>
          <w:color w:val="000000"/>
        </w:rPr>
        <w:t>заработной</w:t>
      </w:r>
      <w:r>
        <w:rPr>
          <w:color w:val="000000"/>
        </w:rPr>
        <w:t xml:space="preserve"> </w:t>
      </w:r>
      <w:r>
        <w:rPr>
          <w:b/>
          <w:color w:val="000000"/>
        </w:rPr>
        <w:t>платы</w:t>
      </w:r>
      <w:r>
        <w:rPr>
          <w:color w:val="000000"/>
        </w:rPr>
        <w:t xml:space="preserve"> и создание условий для своевременной ее выплаты остается одной из основных задач в сфере социально-трудовых отношений. Проблема «теневой» </w:t>
      </w:r>
      <w:r>
        <w:rPr>
          <w:b/>
          <w:color w:val="000000"/>
        </w:rPr>
        <w:t>заработной</w:t>
      </w:r>
      <w:r>
        <w:rPr>
          <w:color w:val="000000"/>
        </w:rPr>
        <w:t xml:space="preserve"> </w:t>
      </w:r>
      <w:r>
        <w:rPr>
          <w:b/>
          <w:color w:val="000000"/>
        </w:rPr>
        <w:t>платы</w:t>
      </w:r>
      <w:r>
        <w:rPr>
          <w:color w:val="000000"/>
        </w:rPr>
        <w:t xml:space="preserve"> — одна из актуальных и острых по всей стране. Под теневой </w:t>
      </w:r>
      <w:r>
        <w:rPr>
          <w:b/>
          <w:color w:val="000000"/>
        </w:rPr>
        <w:t>заработной</w:t>
      </w:r>
      <w:r>
        <w:rPr>
          <w:color w:val="000000"/>
        </w:rPr>
        <w:t xml:space="preserve"> </w:t>
      </w:r>
      <w:r>
        <w:rPr>
          <w:b/>
          <w:color w:val="000000"/>
        </w:rPr>
        <w:t>платой</w:t>
      </w:r>
      <w:r>
        <w:rPr>
          <w:color w:val="000000"/>
        </w:rPr>
        <w:t xml:space="preserve"> подразумевается выплата работникам, не учитываемая при налогообложении, — это </w:t>
      </w:r>
      <w:r>
        <w:rPr>
          <w:b/>
          <w:color w:val="000000"/>
        </w:rPr>
        <w:t>заработная</w:t>
      </w:r>
      <w:r>
        <w:rPr>
          <w:color w:val="000000"/>
        </w:rPr>
        <w:t xml:space="preserve"> </w:t>
      </w:r>
      <w:r>
        <w:rPr>
          <w:b/>
          <w:color w:val="000000"/>
        </w:rPr>
        <w:t>плата</w:t>
      </w:r>
      <w:r>
        <w:rPr>
          <w:color w:val="000000"/>
        </w:rPr>
        <w:t>, выдаваемая в «конвертах» или промышленными и продовольственными товарами.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3"/>
        <w:spacing w:before="14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paragraph" w:styleId="3">
    <w:name w:val="Heading 3"/>
    <w:basedOn w:val="Style15"/>
    <w:qFormat/>
    <w:pPr>
      <w:spacing w:before="140" w:after="120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Основной шрифт абзаца"/>
    <w:qFormat/>
    <w:rPr/>
  </w:style>
  <w:style w:type="character" w:styleId="Style14">
    <w:name w:val="Посещённая гиперссылка"/>
    <w:basedOn w:val="Style13"/>
    <w:rPr>
      <w:color w:val="80008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color w:val="000000"/>
      <w:u w:val="none"/>
    </w:rPr>
  </w:style>
  <w:style w:type="character" w:styleId="ListLabel4">
    <w:name w:val="ListLabel 4"/>
    <w:qFormat/>
    <w:rPr>
      <w:rFonts w:ascii="Liberation Serif" w:hAnsi="Liberation Serif"/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andia.ru/text/category/zarabotnaya_plata/" TargetMode="External"/><Relationship Id="rId4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www.pandia.ru/text/category/trudovoe_pravo/" TargetMode="External"/><Relationship Id="rId6" Type="http://schemas.openxmlformats.org/officeDocument/2006/relationships/hyperlink" Target="http://www.pandia.ru/text/category/kollektivnie_dogovora/" TargetMode="External"/><Relationship Id="rId7" Type="http://schemas.openxmlformats.org/officeDocument/2006/relationships/hyperlink" Target="http://pandia.ru/text/category/akt_normativnij/" TargetMode="External"/><Relationship Id="rId8" Type="http://schemas.openxmlformats.org/officeDocument/2006/relationships/hyperlink" Target="http://www.pandia.ru/text/category/trudovie_dogovora/" TargetMode="External"/><Relationship Id="rId9" Type="http://schemas.openxmlformats.org/officeDocument/2006/relationships/hyperlink" Target="http://pandia.ru/text/category/dogovor_trudovoj/" TargetMode="External"/><Relationship Id="rId10" Type="http://schemas.openxmlformats.org/officeDocument/2006/relationships/hyperlink" Target="http://pandia.ru/text/category/vremya_rabochee/" TargetMode="External"/><Relationship Id="rId11" Type="http://schemas.openxmlformats.org/officeDocument/2006/relationships/hyperlink" Target="http://pandia.ru/text/category/ugolovnaya_otvetstvennostmz/" TargetMode="External"/><Relationship Id="rId12" Type="http://schemas.openxmlformats.org/officeDocument/2006/relationships/hyperlink" Target="http://www.pandia.ru/text/category/vznos/" TargetMode="External"/><Relationship Id="rId13" Type="http://schemas.openxmlformats.org/officeDocument/2006/relationships/hyperlink" Target="http://www.pandia.ru/text/category/administrativnoe_pravo/" TargetMode="External"/><Relationship Id="rId14" Type="http://schemas.openxmlformats.org/officeDocument/2006/relationships/hyperlink" Target="http://pandia.ru/text/category/administrativnij_shtraf/" TargetMode="External"/><Relationship Id="rId15" Type="http://schemas.openxmlformats.org/officeDocument/2006/relationships/hyperlink" Target="http://www.pandia.ru/text/category/predprinimatelmzskaya_deyatelmznostmz/" TargetMode="External"/><Relationship Id="rId16" Type="http://schemas.openxmlformats.org/officeDocument/2006/relationships/hyperlink" Target="http://pandia.ru/text/category/administrativnie_pravonarusheniya/" TargetMode="External"/><Relationship Id="rId17" Type="http://schemas.openxmlformats.org/officeDocument/2006/relationships/hyperlink" Target="http://pandia.ru/text/category/deyatelmznostmz_predprinimatelmzskaya/" TargetMode="External"/><Relationship Id="rId18" Type="http://schemas.openxmlformats.org/officeDocument/2006/relationships/hyperlink" Target="http://pandia.ru/text/category/glavnij_buhgalter/" TargetMode="External"/><Relationship Id="rId19" Type="http://schemas.openxmlformats.org/officeDocument/2006/relationships/hyperlink" Target="http://pandia.ru/text/category/vihodnoe_posobie/" TargetMode="External"/><Relationship Id="rId20" Type="http://schemas.openxmlformats.org/officeDocument/2006/relationships/hyperlink" Target="http://www.pandia.ru/text/category/bezrabotitca/" TargetMode="External"/><Relationship Id="rId21" Type="http://schemas.openxmlformats.org/officeDocument/2006/relationships/hyperlink" Target="http://pandia.ru/text/category/nalogovie_vicheti/" TargetMode="External"/><Relationship Id="rId22" Type="http://schemas.openxmlformats.org/officeDocument/2006/relationships/hyperlink" Target="http://www.pandia.ru/text/category/buhgalterskij_uchet/" TargetMode="External"/><Relationship Id="rId23" Type="http://schemas.openxmlformats.org/officeDocument/2006/relationships/hyperlink" Target="http://pandia.ru/text/category/bankovskie_krediti/" TargetMode="External"/><Relationship Id="rId24" Type="http://schemas.openxmlformats.org/officeDocument/2006/relationships/hyperlink" Target="http://www.pandia.ru/text/category/inspektcii_truda/" TargetMode="External"/><Relationship Id="rId25" Type="http://schemas.openxmlformats.org/officeDocument/2006/relationships/hyperlink" Target="http://www.pandia.ru/text/category/vziskanie/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LibreOffice/6.0.6.2$Linux_x86 LibreOffice_project/00m0$Build-2</Application>
  <Pages>4</Pages>
  <Words>933</Words>
  <Characters>6342</Characters>
  <CharactersWithSpaces>7234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2019-06-10T10:23:14Z</dcterms:created>
  <dc:creator/>
  <dc:description/>
  <dc:language>ru-RU</dc:language>
  <cp:lastModifiedBy/>
  <dcterms:modified xsi:type="dcterms:W3CDTF">2019-06-14T10:45:14Z</dcterms:modified>
  <cp:revision>7</cp:revision>
  <dc:subject/>
  <dc:title/>
</cp:coreProperties>
</file>